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D2169">
      <w:pPr>
        <w:spacing w:line="360" w:lineRule="auto"/>
        <w:jc w:val="center"/>
        <w:rPr>
          <w:rFonts w:hint="eastAsia" w:ascii="黑体" w:hAnsi="黑体" w:eastAsia="黑体"/>
          <w:b/>
          <w:color w:val="auto"/>
          <w:kern w:val="0"/>
          <w:sz w:val="44"/>
          <w:szCs w:val="44"/>
          <w:lang w:val="en-US" w:eastAsia="zh-CN"/>
        </w:rPr>
      </w:pPr>
      <w:r>
        <w:rPr>
          <w:rFonts w:hint="eastAsia" w:ascii="黑体" w:hAnsi="黑体" w:eastAsia="黑体"/>
          <w:b/>
          <w:color w:val="auto"/>
          <w:kern w:val="0"/>
          <w:sz w:val="44"/>
          <w:szCs w:val="44"/>
        </w:rPr>
        <w:t>省数字政府省域治理“一网统管”科技创新专题运营（2026年）项目</w:t>
      </w:r>
      <w:bookmarkStart w:id="0" w:name="_GoBack"/>
      <w:bookmarkEnd w:id="0"/>
    </w:p>
    <w:p w14:paraId="60EAA2F7">
      <w:pPr>
        <w:spacing w:line="360" w:lineRule="auto"/>
        <w:jc w:val="center"/>
        <w:rPr>
          <w:rFonts w:ascii="黑体" w:hAnsi="黑体" w:eastAsia="黑体"/>
          <w:b/>
          <w:color w:val="auto"/>
          <w:kern w:val="0"/>
          <w:sz w:val="44"/>
          <w:szCs w:val="44"/>
        </w:rPr>
      </w:pPr>
      <w:r>
        <w:rPr>
          <w:rFonts w:hint="eastAsia" w:ascii="黑体" w:hAnsi="黑体" w:eastAsia="黑体"/>
          <w:b/>
          <w:color w:val="auto"/>
          <w:kern w:val="0"/>
          <w:sz w:val="44"/>
          <w:szCs w:val="44"/>
        </w:rPr>
        <w:t>采购需求书</w:t>
      </w:r>
    </w:p>
    <w:p w14:paraId="20947B8C">
      <w:pPr>
        <w:numPr>
          <w:ilvl w:val="-1"/>
          <w:numId w:val="0"/>
        </w:numPr>
        <w:ind w:firstLine="640" w:firstLineChars="200"/>
        <w:outlineLvl w:val="0"/>
        <w:rPr>
          <w:rFonts w:hint="eastAsia" w:ascii="黑体" w:hAnsi="黑体" w:eastAsia="黑体" w:cs="黑体"/>
          <w:b w:val="0"/>
          <w:bCs w:val="0"/>
          <w:color w:val="auto"/>
          <w:sz w:val="32"/>
          <w:szCs w:val="32"/>
          <w:lang w:val="en-US" w:eastAsia="zh-CN"/>
        </w:rPr>
      </w:pPr>
    </w:p>
    <w:p w14:paraId="3B35C8AD">
      <w:pPr>
        <w:numPr>
          <w:ilvl w:val="-1"/>
          <w:numId w:val="0"/>
        </w:numPr>
        <w:ind w:firstLine="640" w:firstLineChars="200"/>
        <w:outlineLvl w:val="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采购项目内容</w:t>
      </w:r>
    </w:p>
    <w:p w14:paraId="47875AD6">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省数字政府省域治理“一网统管”科技创新专题运营（2026年）项目</w:t>
      </w:r>
    </w:p>
    <w:p w14:paraId="5B4FC43E">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rPr>
      </w:pPr>
      <w:r>
        <w:rPr>
          <w:rFonts w:hint="eastAsia" w:ascii="黑体" w:hAnsi="黑体" w:eastAsia="黑体" w:cs="黑体"/>
          <w:b w:val="0"/>
          <w:bCs w:val="0"/>
          <w:smallCaps w:val="0"/>
          <w:color w:val="auto"/>
          <w:sz w:val="32"/>
          <w:szCs w:val="32"/>
        </w:rPr>
        <w:t>二、采购项目需求（包括种类、数量、质量）</w:t>
      </w:r>
    </w:p>
    <w:p w14:paraId="1379C688">
      <w:pPr>
        <w:ind w:firstLine="560" w:firstLineChars="200"/>
        <w:outlineLvl w:val="1"/>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1.</w:t>
      </w:r>
      <w:r>
        <w:rPr>
          <w:rFonts w:hint="eastAsia" w:ascii="Times New Roman" w:hAnsi="Times New Roman" w:eastAsia="仿宋_GB2312" w:cs="仿宋_GB2312"/>
          <w:color w:val="auto"/>
          <w:sz w:val="28"/>
          <w:szCs w:val="28"/>
        </w:rPr>
        <w:t>软件开发服务</w:t>
      </w:r>
    </w:p>
    <w:p w14:paraId="5854F6B8">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1.1职务科技成果“先用后转”数据管理应用开发</w:t>
      </w:r>
    </w:p>
    <w:p w14:paraId="26CB83A7">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1.1.1成果数据接入</w:t>
      </w:r>
    </w:p>
    <w:p w14:paraId="2C227AA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开发数据接口与阳光政务平台联通，通过数据中台调取阳光政务平台的成果名称、成果单位、成果详情等数据，接入数据管理应用，用于对外进行成果发布。</w:t>
      </w:r>
    </w:p>
    <w:p w14:paraId="5F0D9943">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1.1.2成果发布接口</w:t>
      </w:r>
    </w:p>
    <w:p w14:paraId="7698AB2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对在数据管理用中进行成果数据的修改、审核、发布，将发布结果数据通过接口推送到职务科技成果“先用后转”数据管理应用中。</w:t>
      </w:r>
    </w:p>
    <w:p w14:paraId="21EBD5B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成果数据推送到发布接口时，要求降低成果数据中敏感数据，同时保持数据的可用性和完整性。</w:t>
      </w:r>
    </w:p>
    <w:p w14:paraId="4CEB4C96">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1.1.3先用后转成果管理</w:t>
      </w:r>
    </w:p>
    <w:p w14:paraId="5447F560">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1.1.3.1成果数据一键审核</w:t>
      </w:r>
    </w:p>
    <w:p w14:paraId="7C63BAE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1.1.3.1.1成果数据审批信息</w:t>
      </w:r>
    </w:p>
    <w:p w14:paraId="574CC8A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成果一键审批管理功能将面向具有审批员角色的用户，并且主要用于针对整个审批流程的各环节，实现审批的逐级管理业务；具体业务表现为：</w:t>
      </w:r>
    </w:p>
    <w:p w14:paraId="66B559C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审批员：系统会将相应的审批员信息进行分类存储，例如不同部门的审批员。可审核本部门所有填报员的表单数据进行审批。</w:t>
      </w:r>
    </w:p>
    <w:p w14:paraId="299B9CC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审批过程信息展示：针对一个完整的审批流程，系统会将其分解为多个审批环节，以确保审批流程的规范和标准化。在整个审批过程中，系统将跟踪并记录每个过程的数据，包括每一步审批进度、审批人员及其反馈、审批结果等。同时，系统也会提供相应的报表，以及基于数据分析的审批流程优化建议，帮助用户提升审批效率。</w:t>
      </w:r>
    </w:p>
    <w:p w14:paraId="5701D47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1.1.3.1.2成果数据一键审批信息</w:t>
      </w:r>
    </w:p>
    <w:p w14:paraId="4DACFB4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将通过接口数据直接将成果数据导入至填报数据页面，增加面向审核员提供一键审批数据审批功能，可以完成对填报数据的审批。审批同意即可通过审批，驳回填写驳回意见后即可驳回数据。支持查看填报数据、审批历史以及审批流程图。</w:t>
      </w:r>
    </w:p>
    <w:p w14:paraId="2BC240F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数据审批操作：审核员可以对通过系统提交的填报数据进行审批，如果审批同意，对应的填报数据会立即通过审批。如果不同意，则需要填写相应的驳回意见，并将数据驳回。</w:t>
      </w:r>
    </w:p>
    <w:p w14:paraId="40BB52C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1.1.3.1.3填报数据审批流程图信息</w:t>
      </w:r>
    </w:p>
    <w:p w14:paraId="6BA233D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新增数据审批流程图：系统将提供每个填报数据的审批流程图，在页面上直观地展示完整的填报数据审批流程，包括审批环节、审批人员等信息，让审核员一目了然。</w:t>
      </w:r>
    </w:p>
    <w:p w14:paraId="0C7A5846">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1.1.3.2成果数据一键发布管理</w:t>
      </w:r>
    </w:p>
    <w:p w14:paraId="58C26B5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成果发布管理功能将面向具有审批员角色的用户，并且主要用于针对整个审批流程的各环节，实现成果一键发布管理。具体业务表现为：</w:t>
      </w:r>
    </w:p>
    <w:p w14:paraId="5157127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发布员：系统会将相应的发布员信息进行分类存储，例如不同部门的发布员。可审核本部门所有填报员的表单数据进行审批。</w:t>
      </w:r>
    </w:p>
    <w:p w14:paraId="463594A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发布过程信息展示：针对一个完整的发布流程，系统会将其分解为多个发布环节，以确保审批流程的规范和标准化。在整个发布过程中，系统将跟踪并记录每个过程的数据，包括每一步发布进度、发布人员及其反馈、发布结果等。同时，系统也会提供相应的报表，以及基于数据分析的发布流程优化建议，帮助用户提升发布效率。</w:t>
      </w:r>
    </w:p>
    <w:p w14:paraId="2F3D4DB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发布管理信息实现对已填报确认的需要发布的成果数据的审核管理业务，包括审核意见、审核状态、流程等相关信息内容，审批管理将面向审核员提供审核、拒绝、预览等功能。</w:t>
      </w:r>
    </w:p>
    <w:p w14:paraId="15A5D8D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增加面向发布员提供一键发布数据审批功能，可以完成对已确认数据的审批。审批同意即可通过审批，驳回填写驳回意见后即可驳回数据。支持查看填报数据、审批历史以及审批流程图。</w:t>
      </w:r>
    </w:p>
    <w:p w14:paraId="359B3693">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1.1.3.3成果领域查询</w:t>
      </w:r>
    </w:p>
    <w:p w14:paraId="7505AF2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系统支持各社会用户根据给定的十大战略性支柱产业，包含：新一代电子信息技术、绿色石化、智能家电、汽车、先进材料、现代轻工纺织、软件与信息服务、超高清视频显示、生物医药与健康、现代农业与食品；十大战略性新兴产业，包含：半导体与集成电路、高端装备制造、智能机器人、区块链与量子信息、前沿新材料、新能源、激光与增材制造、数字创意、安全应急与环保、精密仪器设备。</w:t>
      </w:r>
    </w:p>
    <w:p w14:paraId="502A52D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提供十大战略性支柱产业、十大战略性新兴产业单选多选查询。</w:t>
      </w:r>
    </w:p>
    <w:p w14:paraId="1CEC299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提供明细产业单选多选查询。</w:t>
      </w:r>
    </w:p>
    <w:p w14:paraId="457282C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按照领域查询结果主要包含：成果名称、成果领域、成熟度、许可使用费标准、联系人、成果简述等信息。</w:t>
      </w:r>
    </w:p>
    <w:p w14:paraId="7FDE1001">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1.1.3.4成果关键词查询</w:t>
      </w:r>
    </w:p>
    <w:p w14:paraId="6B6FB66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系统支持各社会用户根据成果名称、成果信息的关键字进行搜索。</w:t>
      </w:r>
    </w:p>
    <w:p w14:paraId="0C9F064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按照关键词查询结果主要包含：成果名称、成果领域、成熟度、许可使用费标准、联系人、成果简述等信息。</w:t>
      </w:r>
    </w:p>
    <w:p w14:paraId="36842DEC">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1.1.3.5成果多维度展示</w:t>
      </w:r>
    </w:p>
    <w:p w14:paraId="0BCCD1C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系统支持各社会用户根据成果发布的时间和搜索热度的筛选查询。</w:t>
      </w:r>
    </w:p>
    <w:p w14:paraId="51AA052A">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1.1.3.6成果详情页</w:t>
      </w:r>
    </w:p>
    <w:p w14:paraId="498C01E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按照关键词查询结果主要包含：成果名称、成果领域、成熟度、许可使用费标准、联系人、成果详细描述等信息。</w:t>
      </w:r>
    </w:p>
    <w:p w14:paraId="37D4B116">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1.1.4公众意向登记管理</w:t>
      </w:r>
    </w:p>
    <w:p w14:paraId="3346F96E">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1.1.4.1意向收集</w:t>
      </w:r>
    </w:p>
    <w:p w14:paraId="727BB4F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面向社会用户提供发布的具体成果需求的意向登记。</w:t>
      </w:r>
    </w:p>
    <w:p w14:paraId="7E7A7C9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提供意向收集功能：</w:t>
      </w:r>
    </w:p>
    <w:p w14:paraId="1305ADC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意向填报，填报内容包含：填写联系人姓名、联系电话、联系电子邮箱、联系人工作单位、备注。</w:t>
      </w:r>
    </w:p>
    <w:p w14:paraId="6467DD3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意向提交，对已填好的意向提交至科技厅，相关用户进行审核。</w:t>
      </w:r>
    </w:p>
    <w:p w14:paraId="0F7A819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意向修改，对已填报未提交的意向可进行修改。</w:t>
      </w:r>
    </w:p>
    <w:p w14:paraId="5ACFA95B">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1.1.4.2意向清单生成</w:t>
      </w:r>
    </w:p>
    <w:p w14:paraId="7AE94F1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面向科技厅用户，对现有社会提交的成果意向表按周/月生成分类清单。</w:t>
      </w:r>
    </w:p>
    <w:p w14:paraId="70B6F80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清单查询功能：支持根据时间区间、产业类型进行查询。</w:t>
      </w:r>
    </w:p>
    <w:p w14:paraId="5BAD269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清单导出功能：支撑对查询结果导出PDF和Excel格式。</w:t>
      </w:r>
    </w:p>
    <w:p w14:paraId="73E518AF">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1.1.5消息推送管理</w:t>
      </w:r>
    </w:p>
    <w:p w14:paraId="040DF7DB">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1.1.5.1通知模板管理</w:t>
      </w:r>
    </w:p>
    <w:p w14:paraId="265C274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对意向人群设置的成果通知模板，包含模版新建、模版修改、模版发布、模版启用、模版停用等功能。</w:t>
      </w:r>
    </w:p>
    <w:p w14:paraId="11AE3E7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模版新建，填写消息通知内容，可新建不同类型的消息模版。</w:t>
      </w:r>
    </w:p>
    <w:p w14:paraId="74974F7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模版修改，对未发布的模版进行修改。</w:t>
      </w:r>
    </w:p>
    <w:p w14:paraId="002B3EE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模版发布，对消息通知模版进行发布。</w:t>
      </w:r>
    </w:p>
    <w:p w14:paraId="768A16C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模版启用停用，对消息模版进行启用、停用。</w:t>
      </w:r>
    </w:p>
    <w:p w14:paraId="63C1E33A">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1.1.5.2通知方式管理</w:t>
      </w:r>
    </w:p>
    <w:p w14:paraId="6BF8597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通过通知方式管理，对意向人员可通过短信通知、邮件通知。包含邮箱设定、短信设定、模版查询、模版关联等功能。</w:t>
      </w:r>
    </w:p>
    <w:p w14:paraId="16A0438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邮箱设定，配置发送邮箱。</w:t>
      </w:r>
    </w:p>
    <w:p w14:paraId="6A098B1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短信设定，配置短信发送平台。</w:t>
      </w:r>
    </w:p>
    <w:p w14:paraId="47800E6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模版查询，对已启用的通知模版进行查询。</w:t>
      </w:r>
    </w:p>
    <w:p w14:paraId="422A03F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模版关联，选择模版进行确认。</w:t>
      </w:r>
    </w:p>
    <w:p w14:paraId="76068563">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1.1.5.3消息推送管理</w:t>
      </w:r>
    </w:p>
    <w:p w14:paraId="04BE5BE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对设定好的模版和通知方式，选择消息推送的范围，功能包含：消息推送查询、消息推送选择、消息确认推送、消息推送状态查询等功能。</w:t>
      </w:r>
    </w:p>
    <w:p w14:paraId="3E5FCA4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消息推送查询，通过成果意向登记查询，提供时间、成果名称、姓名、单位等筛选方式。</w:t>
      </w:r>
    </w:p>
    <w:p w14:paraId="3D988AB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消息推送选择，提供查询结果进行选择，确定消息推送范围。</w:t>
      </w:r>
    </w:p>
    <w:p w14:paraId="7669279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消息确认推送，提供选择通知模版选择功能，消息推送确认功能。</w:t>
      </w:r>
    </w:p>
    <w:p w14:paraId="1245D54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消息推送状态查询，读取短信平台和邮箱的回执数据，查询消息是否推送成功。</w:t>
      </w:r>
    </w:p>
    <w:p w14:paraId="1972A617">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1.1.5.4短信平台对接</w:t>
      </w:r>
    </w:p>
    <w:p w14:paraId="6718CF4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对接短信平台接口，推送联系人电话，获取短信消息通知结果。</w:t>
      </w:r>
    </w:p>
    <w:p w14:paraId="3859308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短信接口信息包含：手机号码、短信内容、短信签名、发送时间、短信唯一标识、发送状态、接收时间等。</w:t>
      </w:r>
    </w:p>
    <w:p w14:paraId="4482FF72">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1.1.5.5邮件平台对接</w:t>
      </w:r>
    </w:p>
    <w:p w14:paraId="0D9272D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对接邮件平台系统，通过邮件推送意向登记清单信息。</w:t>
      </w:r>
    </w:p>
    <w:p w14:paraId="7442AEE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邮件平台对接接口推送信息包含：邮件平台账号信息、发件人邮箱、发件人名称、收件人邮箱、邮件主题名称、邮件内容信息、发送时间信息、送达时间信息等。</w:t>
      </w:r>
    </w:p>
    <w:p w14:paraId="3EAE8836">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1.2国家－省－地市数据接口国产化改造</w:t>
      </w:r>
    </w:p>
    <w:p w14:paraId="475F138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本期完成16个接口的开发，具体如下：</w:t>
      </w:r>
    </w:p>
    <w:p w14:paraId="5D3CDFE3">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1.2.1科技计划项目类接口</w:t>
      </w:r>
    </w:p>
    <w:p w14:paraId="7155CBC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1.2.1.1省级科技计划立项项目</w:t>
      </w:r>
    </w:p>
    <w:p w14:paraId="2F72C08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在数据管理应用建设省级科技计划立项项目接口，数据来源阳光政务平台，下放各地市提供查询接口，支撑地市查询所在地市的省级科技计划立项项目。</w:t>
      </w:r>
    </w:p>
    <w:p w14:paraId="6981DBC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1.2.1.2省科技计划项目单位金额分配信息</w:t>
      </w:r>
    </w:p>
    <w:p w14:paraId="03C6784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在数据管理应用建设省科技计划项目单位金额分配信息接口，数据来源阳光政务平台，下放各地市提供查询接口，支撑地市查询所在地市的省科技计划项目单位金额分配信息。</w:t>
      </w:r>
    </w:p>
    <w:p w14:paraId="32758BC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1.2.1.3省科技计划项目产出信息</w:t>
      </w:r>
    </w:p>
    <w:p w14:paraId="6683DED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在数据管理应用建设省科技计划项目产出信息接口，数据来源阳光政务平台，下放各地市提供查询接口，支撑地市查询所在地市的省科技计划项目产出信息。</w:t>
      </w:r>
    </w:p>
    <w:p w14:paraId="29CFC2E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1.2.1.4省科技计划立项项目人员信息</w:t>
      </w:r>
    </w:p>
    <w:p w14:paraId="02CBD66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在数据管理应用建设省科技计划立项项目人员信息接口，数据来源阳光政务平台，下放各地市提供查询接口，支撑地市查询所在地市的省科技计划立项项目人员信息。</w:t>
      </w:r>
    </w:p>
    <w:p w14:paraId="3C2A413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1.2.1.5省科技计划项目项目成员信息</w:t>
      </w:r>
    </w:p>
    <w:p w14:paraId="4B99950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在数据管理应用建设省科技计划项目项目成员信息接口，数据来源阳光政务平台，下放各地市提供查询接口，支撑地市查询所在地市的省科技计划项目项目成员信息。</w:t>
      </w:r>
    </w:p>
    <w:p w14:paraId="49293ADD">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1.2.2国家重点实验室接口</w:t>
      </w:r>
    </w:p>
    <w:p w14:paraId="0276B1A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在数据管理应用建设国家重点实验室清单信息查询接口，通过科技厅提供的数据文件导入数据管理应用系统，下放各地市提供查询接口，支撑地市查询国家重点实验室清单信息查询。</w:t>
      </w:r>
    </w:p>
    <w:p w14:paraId="4F62516D">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1.2.3国家工程中心接口</w:t>
      </w:r>
    </w:p>
    <w:p w14:paraId="42EF64B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在数据管理应用建设国家工程中心接口，通过科技厅提供的数据文件导入数据管理应用系统，下放各地市提供查询接口，支撑地市查询国家工程中心信息查询。</w:t>
      </w:r>
    </w:p>
    <w:p w14:paraId="4DC14DBD">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1.2.4广东省国家备案众创空间目录接口</w:t>
      </w:r>
    </w:p>
    <w:p w14:paraId="5CAABE3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在数据管理应用建设广东省国家备案众创空间目录接口，通过科技厅提供的数据文件导入数据管理应用系统，下放各地市提供查询接口，支撑地市查询广东省国家备案众创空间目录查询。</w:t>
      </w:r>
    </w:p>
    <w:p w14:paraId="190EF4D8">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1.2.5国家重点领域研发项目接口</w:t>
      </w:r>
    </w:p>
    <w:p w14:paraId="3C0D3A2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在数据管理应用建设国家重点领域研发项目接口，通过科技厅提供的数据文件导入数据管理应用系统，下放各地市提供查询接口，支撑地市查询国家重点领域研发项目查询。</w:t>
      </w:r>
    </w:p>
    <w:p w14:paraId="1B8B1641">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1.2.6广东省国家级科技企业孵化器目录接口</w:t>
      </w:r>
    </w:p>
    <w:p w14:paraId="3C30F6B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在数据管理应用建设广东省国家级科技企业孵化器目录接口，通过科技厅提供的数据文件导入数据管理应用系统，下放各地市提供查询接口，支撑地市查询广东省国家级科技企业孵化器目录查询。</w:t>
      </w:r>
    </w:p>
    <w:p w14:paraId="7BD9B8F3">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1.2.7高新技术企业认定名单接口</w:t>
      </w:r>
    </w:p>
    <w:p w14:paraId="269136E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在数据管理应用建设高新技术企业认定名单接口，通过数据管理应用系统中的高新技术企业认定名单，下放各地市提供查询接口，支撑地市查询高新技术企业认定名单查询。</w:t>
      </w:r>
    </w:p>
    <w:p w14:paraId="403463F4">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1.2.8技术合同认定登记买方信息接口</w:t>
      </w:r>
    </w:p>
    <w:p w14:paraId="76C245F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在数据管理应用建设技术合同认定登记买方信息接口，下放各地市提供查询接口，支撑地市技术合同认定登记买方信息查询。</w:t>
      </w:r>
    </w:p>
    <w:p w14:paraId="06F2CD56">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1.2.9技术合同认定登记接口</w:t>
      </w:r>
    </w:p>
    <w:p w14:paraId="3DC2698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在数据管理应用建设技术合同认定登记接口，下放各地市提供查询接口，支撑地市技术合同认定登记信息查询。</w:t>
      </w:r>
    </w:p>
    <w:p w14:paraId="1B6353A7">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1.2.10新型研发机构信息接口</w:t>
      </w:r>
    </w:p>
    <w:p w14:paraId="0631603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在数据管理应用建设新型研发机构信息接口，下放各地市提供查询接口，支撑地市新型研发机构信息查询。</w:t>
      </w:r>
    </w:p>
    <w:p w14:paraId="6D712F92">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1.2.11研发经费（省统）接口</w:t>
      </w:r>
    </w:p>
    <w:p w14:paraId="4D12362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在数据管理应用建设研发经费（省统）接口，下放各地市提供查询接口，支撑地市研发经费（省统）信息查询。</w:t>
      </w:r>
    </w:p>
    <w:p w14:paraId="4050361A">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1.2.12省重点实验室清单</w:t>
      </w:r>
    </w:p>
    <w:p w14:paraId="2CB2967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在数据管理应用建设省重点实验室清单接口，下放各地市提供查询接口，支撑地市省重点实验室清单信息查询。</w:t>
      </w:r>
    </w:p>
    <w:p w14:paraId="3B6AF396">
      <w:pPr>
        <w:ind w:firstLine="560" w:firstLineChars="200"/>
        <w:outlineLvl w:val="1"/>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w:t>
      </w:r>
      <w:r>
        <w:rPr>
          <w:rFonts w:hint="eastAsia" w:ascii="Times New Roman" w:hAnsi="Times New Roman" w:eastAsia="仿宋_GB2312" w:cs="仿宋_GB2312"/>
          <w:color w:val="auto"/>
          <w:sz w:val="28"/>
          <w:szCs w:val="28"/>
        </w:rPr>
        <w:t>系统业务运营服务</w:t>
      </w:r>
    </w:p>
    <w:p w14:paraId="6DCA1933">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2.1专题运营服务</w:t>
      </w:r>
    </w:p>
    <w:p w14:paraId="241F1111">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2.1.1大屏专题运营服务</w:t>
      </w:r>
    </w:p>
    <w:p w14:paraId="6BF3493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要求本项工作配备中级工程师开展实施工作，完成每个卡片页面需要调研业务需求、业务指标调整、页面功能设计开发及数据支撑服务。</w:t>
      </w:r>
    </w:p>
    <w:p w14:paraId="602E47E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2.1.1.</w:t>
      </w:r>
      <w:r>
        <w:rPr>
          <w:rFonts w:hint="eastAsia" w:ascii="Times New Roman" w:hAnsi="Times New Roman" w:eastAsia="仿宋_GB2312" w:cs="仿宋_GB2312"/>
          <w:color w:val="auto"/>
          <w:sz w:val="28"/>
          <w:szCs w:val="28"/>
        </w:rPr>
        <w:t>1.调整卡片业务需求调研工作</w:t>
      </w:r>
    </w:p>
    <w:p w14:paraId="1736D10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主要对需要调整的卡片指标进行业务调研。</w:t>
      </w:r>
    </w:p>
    <w:p w14:paraId="7BC5A56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2.1.1.</w:t>
      </w:r>
      <w:r>
        <w:rPr>
          <w:rFonts w:hint="eastAsia" w:ascii="Times New Roman" w:hAnsi="Times New Roman" w:eastAsia="仿宋_GB2312" w:cs="仿宋_GB2312"/>
          <w:color w:val="auto"/>
          <w:sz w:val="28"/>
          <w:szCs w:val="28"/>
        </w:rPr>
        <w:t>2.业务指标调整工作</w:t>
      </w:r>
    </w:p>
    <w:p w14:paraId="205C308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主要是对需要调整的卡片指标，根据业务调研结果进行重新设计或调整，调整完毕后与用户确认。</w:t>
      </w:r>
    </w:p>
    <w:p w14:paraId="7F6454D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2.1.1.</w:t>
      </w:r>
      <w:r>
        <w:rPr>
          <w:rFonts w:hint="eastAsia" w:ascii="Times New Roman" w:hAnsi="Times New Roman" w:eastAsia="仿宋_GB2312" w:cs="仿宋_GB2312"/>
          <w:color w:val="auto"/>
          <w:sz w:val="28"/>
          <w:szCs w:val="28"/>
        </w:rPr>
        <w:t>3.页面功能设计开发工作</w:t>
      </w:r>
    </w:p>
    <w:p w14:paraId="21E7F56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页面功能设计开发工作主要包含：原型设计、高保真设计、开发配置等工作内容。</w:t>
      </w:r>
    </w:p>
    <w:p w14:paraId="1C03906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2.1.1.</w:t>
      </w:r>
      <w:r>
        <w:rPr>
          <w:rFonts w:hint="eastAsia" w:ascii="Times New Roman" w:hAnsi="Times New Roman" w:eastAsia="仿宋_GB2312" w:cs="仿宋_GB2312"/>
          <w:color w:val="auto"/>
          <w:sz w:val="28"/>
          <w:szCs w:val="28"/>
        </w:rPr>
        <w:t>4.数据支撑服务</w:t>
      </w:r>
    </w:p>
    <w:p w14:paraId="08E0584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根据前期调研梳理的数据指标情况调用上屏展示。</w:t>
      </w:r>
    </w:p>
    <w:p w14:paraId="73B8990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2.1.1.5.</w:t>
      </w:r>
      <w:r>
        <w:rPr>
          <w:rFonts w:hint="eastAsia" w:ascii="Times New Roman" w:hAnsi="Times New Roman" w:eastAsia="仿宋_GB2312" w:cs="仿宋_GB2312"/>
          <w:color w:val="auto"/>
          <w:sz w:val="28"/>
          <w:szCs w:val="28"/>
        </w:rPr>
        <w:t>卡片维护清单</w:t>
      </w:r>
    </w:p>
    <w:p w14:paraId="07C243B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从政策执行、重点任务、工作成果、决策分析角度出发，支撑大屏快速呈现科技业务变化情况，及时响应领导用数需求。拟定22个卡片，项目具体执行存在差异。</w:t>
      </w:r>
    </w:p>
    <w:p w14:paraId="0EE4B31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需提交服务成果：</w:t>
      </w:r>
    </w:p>
    <w:p w14:paraId="17E0303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1.22个指定业务卡片的高效维护与更新；</w:t>
      </w:r>
    </w:p>
    <w:p w14:paraId="0688D87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2.已建主题库的持续优化支撑；</w:t>
      </w:r>
    </w:p>
    <w:p w14:paraId="7C67807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3.输出卡片维护记录1份，涵盖需求变更确认、指标调整说明、设计稿及最终上线状态，作为本次服务周期的成果证明。</w:t>
      </w:r>
    </w:p>
    <w:p w14:paraId="17DD519A">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2.1.2小屏数据运营服务</w:t>
      </w:r>
    </w:p>
    <w:p w14:paraId="584963E7">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2.1.2.1科技总览、专题分析以及科技画像小屏数据运营服务</w:t>
      </w:r>
    </w:p>
    <w:p w14:paraId="04F95D9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要求本项工作配备中级工程师开展实施工作，完成科技总览板块含有“广东省区域创新能力”“广东省R&amp;D经费”“广东省技术合同登记成交额”“广东省PCT国际专利申请量”“广东省高企存量”以及“省级科技项目立项量”六类指标。</w:t>
      </w:r>
    </w:p>
    <w:p w14:paraId="0676405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专题分析板块含有“技术合同登记”“重点领域研发计划项目”“疫情公关项目”“粤港澳联合创新项目”以及“省实验室”五项专题。</w:t>
      </w:r>
    </w:p>
    <w:p w14:paraId="42A1EA9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科技画像板块含有“科技主管部门画像”“单位画像”以及“院士画像”三类画像。</w:t>
      </w:r>
    </w:p>
    <w:p w14:paraId="0A072E4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需提交服务成果：</w:t>
      </w:r>
    </w:p>
    <w:p w14:paraId="477EC3F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1.输出以上31个指标、41个图表等功能模块数据更新报告1份。</w:t>
      </w:r>
    </w:p>
    <w:p w14:paraId="2F4C602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2.输出以上31个指标、41个图表功能模块页面服务运营报告1份，包括服务内容、执行情况、服务成效、存在问题或其他需要说明等内容。</w:t>
      </w:r>
    </w:p>
    <w:p w14:paraId="58CBE7FD">
      <w:pPr>
        <w:ind w:firstLine="560" w:firstLineChars="200"/>
        <w:outlineLvl w:val="4"/>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2.1.2.2科技统计数据小屏运营服务</w:t>
      </w:r>
    </w:p>
    <w:p w14:paraId="4D03FB2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项工作配备中级工程师开展实施工作，完成科技统计数据小屏运营服务内容。对三期（2025年）广东省主要科技统计指标：1级9个，二级30个，三级178个；广东地市主要科技统计指标：一级7个，二级36，三级各地市，结合最新的科技统计指标数据进行全量更新，提升数据可视化分析能力，并根据省、市科技统计重点指标以及对应可视化图表呈现方式进行调整与维护。</w:t>
      </w:r>
    </w:p>
    <w:p w14:paraId="216C5C0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需提交服务成果：</w:t>
      </w:r>
    </w:p>
    <w:p w14:paraId="682597D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1.输出科技统计指标数据更新报告1份。</w:t>
      </w:r>
    </w:p>
    <w:p w14:paraId="6310668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2.输出21个省级重点指标和21重点指标可视化图表服务运营报告1份，包括服务内容、执行情况、服务成效、存在问题或其他需要说明等内容。</w:t>
      </w:r>
    </w:p>
    <w:p w14:paraId="522D9DEC">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2.2数据管理应用运营服务</w:t>
      </w:r>
    </w:p>
    <w:p w14:paraId="30D453B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本项工作配备中级工程师开展实施工作，完成以下三项运营内容：</w:t>
      </w:r>
    </w:p>
    <w:p w14:paraId="74F2FFD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2.2.1数据管理应用数据表单实施服务</w:t>
      </w:r>
    </w:p>
    <w:p w14:paraId="7440EFB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本项服务通过表单配置和非格式化数据处理并行，保障“1+9”全过程创新链及业务子专题内容数据持续更新与维护，具体内容如下：</w:t>
      </w:r>
    </w:p>
    <w:p w14:paraId="502D15B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2.2.1</w:t>
      </w:r>
      <w:r>
        <w:rPr>
          <w:rFonts w:hint="eastAsia" w:ascii="Times New Roman" w:hAnsi="Times New Roman" w:eastAsia="仿宋_GB2312" w:cs="仿宋_GB2312"/>
          <w:color w:val="auto"/>
          <w:sz w:val="28"/>
          <w:szCs w:val="28"/>
          <w:lang w:val="en-US" w:eastAsia="zh-CN"/>
        </w:rPr>
        <w:t>.1</w:t>
      </w:r>
      <w:r>
        <w:rPr>
          <w:rFonts w:hint="eastAsia" w:ascii="Times New Roman" w:hAnsi="Times New Roman" w:eastAsia="仿宋_GB2312" w:cs="仿宋_GB2312"/>
          <w:color w:val="auto"/>
          <w:sz w:val="28"/>
          <w:szCs w:val="28"/>
        </w:rPr>
        <w:t>表单配置服务</w:t>
      </w:r>
    </w:p>
    <w:p w14:paraId="6388346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具体工作包含：需上报数据等实际业务调研，对整体待填报资源进行梳理，按科技厅业务分类归集填报数据项，确认填报数据模式和格式，通过应用字典项、字典码、元数据、元数据集、表单创建、流程配置、用户账号管理、数据共享等方面地实施维护管理工作，总计24个表单。</w:t>
      </w:r>
    </w:p>
    <w:p w14:paraId="3C53F8F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2.2.1</w:t>
      </w:r>
      <w:r>
        <w:rPr>
          <w:rFonts w:hint="eastAsia" w:ascii="Times New Roman" w:hAnsi="Times New Roman" w:eastAsia="仿宋_GB2312" w:cs="仿宋_GB2312"/>
          <w:color w:val="auto"/>
          <w:sz w:val="28"/>
          <w:szCs w:val="28"/>
          <w:lang w:val="en-US" w:eastAsia="zh-CN"/>
        </w:rPr>
        <w:t>.2</w:t>
      </w:r>
      <w:r>
        <w:rPr>
          <w:rFonts w:hint="eastAsia" w:ascii="Times New Roman" w:hAnsi="Times New Roman" w:eastAsia="仿宋_GB2312" w:cs="仿宋_GB2312"/>
          <w:color w:val="auto"/>
          <w:sz w:val="28"/>
          <w:szCs w:val="28"/>
        </w:rPr>
        <w:t>非格式化数据处理服务</w:t>
      </w:r>
    </w:p>
    <w:p w14:paraId="1878FE1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涉及“百千万工程”专题所需的社会新闻、会议纪要、工作汇报（PDF、Word、PPT、PNG、jpg格式）非格式化文件数据进行处理。</w:t>
      </w:r>
    </w:p>
    <w:p w14:paraId="27F8930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2.2.1</w:t>
      </w:r>
      <w:r>
        <w:rPr>
          <w:rFonts w:hint="eastAsia" w:ascii="Times New Roman" w:hAnsi="Times New Roman" w:eastAsia="仿宋_GB2312" w:cs="仿宋_GB2312"/>
          <w:color w:val="auto"/>
          <w:sz w:val="28"/>
          <w:szCs w:val="28"/>
          <w:lang w:val="en-US" w:eastAsia="zh-CN"/>
        </w:rPr>
        <w:t>.3</w:t>
      </w:r>
      <w:r>
        <w:rPr>
          <w:rFonts w:hint="eastAsia" w:ascii="Times New Roman" w:hAnsi="Times New Roman" w:eastAsia="仿宋_GB2312" w:cs="仿宋_GB2312"/>
          <w:color w:val="auto"/>
          <w:sz w:val="28"/>
          <w:szCs w:val="28"/>
        </w:rPr>
        <w:t>数据互联互通服务</w:t>
      </w:r>
    </w:p>
    <w:p w14:paraId="1ACE949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由于本次新增职务科技成果“先用后转”数据管理包含阳光平台成果信息表、先用后转成果信息审核表、先用后转成果信息发布表、先用后转成果意向采集表、成果意向消息发送记录表，共计5项表。通过数据管理应用配置表单完成后，需要与数据中台对接，实现职务科技成果“先用后转”数据的更新、维护，推动数据管理应用和职务科技成果“先用后转”的数据联动，保障了各项数据应用的数据准确性、鲜活性、维护性。</w:t>
      </w:r>
    </w:p>
    <w:p w14:paraId="151B10B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1.数据中台脚本创建</w:t>
      </w:r>
    </w:p>
    <w:p w14:paraId="330A0A4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对数据管理应用接入的数据，利用数据中台进行脚本编制，形成数据管理应用与数据中台的数据同步，满足通过数据管理应用对职务科技成果“先用后转”的数据修改、更新、维护。</w:t>
      </w:r>
    </w:p>
    <w:p w14:paraId="4FE6F8D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（1）数据抽取，定时或实时从多个源头系统（如数据库、API、文件系统等）抓取数据，工具或编写脚本，例如SQL、Python、Shell等，以定义数据抽取规则。</w:t>
      </w:r>
    </w:p>
    <w:p w14:paraId="45CFE66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（2）数据转换，抽取的数据进行预处理，包括但不限于去除无效值、填充缺失值、数据类型转换等，编写数据转换脚本，确保数据质量和一致性，满足后续分析和应用的需求。</w:t>
      </w:r>
    </w:p>
    <w:p w14:paraId="4E81DBF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（3）数据加载与整合，转换后的数据加载到数据中台的数据仓库，编写数据整合脚本来实现数据的关联和聚合脚本。</w:t>
      </w:r>
    </w:p>
    <w:p w14:paraId="60864BC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（4）数据处理与计算，编写脚本，设置定时任务来执行脚本并处理增量数据。</w:t>
      </w:r>
    </w:p>
    <w:p w14:paraId="254C8D9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（5）数据推送，编写脚本对各项数据进行推送，保障数据的及时性。</w:t>
      </w:r>
    </w:p>
    <w:p w14:paraId="1B7B4F7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（6）脚本测试，项目在投产前，建议进行脚本测试，对编制的脚本进行数据内容是否正确、数据转换时效、数据转换准确质量、脚本执行时长等进行测试，保障数据的准确、高效。</w:t>
      </w:r>
    </w:p>
    <w:p w14:paraId="06CCFC6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7）性能测试，脚本的性能是一个很重要的参数，本项目所指的脚本性能包括脚本执行的效率、处理能力。在测试中，为每个脚本的响应时间、处理速度量度，评估脚本的最高处理能力，在发现脚本的性能不满足要求，需进行相应措施对系统的性能进行调整。</w:t>
      </w:r>
    </w:p>
    <w:p w14:paraId="2D4F9FD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（8）监控，检查脚本执行状态、性能指标和数据情况，根据需要调整脚本数据范围，修改逻辑或优化脚本，以及必要时，对一些纸质版、电子版文件进行导入和修改工作，满足数据内容、时限等进行调整。</w:t>
      </w:r>
    </w:p>
    <w:p w14:paraId="47B63A7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2.4.2.2.2已配置数据管理应用表单流程变更与表单调整运营服务</w:t>
      </w:r>
    </w:p>
    <w:p w14:paraId="479DEF8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数据管理应用，通过二期（2024年）、三期（2025年）的运营，累计132个已在数据管理应用中配置的数据表单，需要对已配置的表单，结合业务进行审批流程和表单数据项的调整，提高数据管理效率，保障数据的准确性。</w:t>
      </w:r>
    </w:p>
    <w:p w14:paraId="376CD4B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2.2.3数据开放运营维护服务</w:t>
      </w:r>
    </w:p>
    <w:p w14:paraId="4E68CFF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2.2.</w:t>
      </w:r>
      <w:r>
        <w:rPr>
          <w:rFonts w:hint="eastAsia" w:ascii="Times New Roman" w:hAnsi="Times New Roman" w:eastAsia="仿宋_GB2312" w:cs="仿宋_GB2312"/>
          <w:color w:val="auto"/>
          <w:sz w:val="28"/>
          <w:szCs w:val="28"/>
          <w:lang w:val="en-US" w:eastAsia="zh-CN"/>
        </w:rPr>
        <w:t>3.</w:t>
      </w:r>
      <w:r>
        <w:rPr>
          <w:rFonts w:hint="eastAsia" w:ascii="Times New Roman" w:hAnsi="Times New Roman" w:eastAsia="仿宋_GB2312" w:cs="仿宋_GB2312"/>
          <w:color w:val="auto"/>
          <w:sz w:val="28"/>
          <w:szCs w:val="28"/>
        </w:rPr>
        <w:t>1共享数据运营服务</w:t>
      </w:r>
    </w:p>
    <w:p w14:paraId="1397C91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一网共享前置机数据运营工作主要包含：一网共享前置机数据运营台账创建与维护、年度数据更新、前置机数据库环境配置与维护、网络调试、配合一网共享调整、日常运营等。具体工作内容如下：</w:t>
      </w:r>
    </w:p>
    <w:p w14:paraId="0256AC9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（1）一网共享前置机数据运营台账创建与维护</w:t>
      </w:r>
    </w:p>
    <w:p w14:paraId="3A44CA1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创建一网共享前置机数据运营台账，对工作事项、数据内容、更新频次、数据来源、提供方式、共享方式、修改内容等进行记录与维护。</w:t>
      </w:r>
    </w:p>
    <w:p w14:paraId="16CCCE3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（2）年度数据更新工作</w:t>
      </w:r>
    </w:p>
    <w:p w14:paraId="1AEA6E7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通过数据管理对一网共享涉及的数据表单进行分类，方便查询和维护；用户通过数据管理进行共享数据填报，共享数据进入数据中台，推送至一网共享前置机，完成数据共享工作。如出现数据错误、数据退回以及突发事件等特殊情况，进入以下步骤进行处理：</w:t>
      </w:r>
    </w:p>
    <w:p w14:paraId="50F5873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a.数据采集与整理工作</w:t>
      </w:r>
    </w:p>
    <w:p w14:paraId="63291B7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通过office、数据库管理软件等工具，使用SQL、宏等编译语言，对纸质、电子、数据库表类型数据进行收集、整理、归纳，形成格式化数据；</w:t>
      </w:r>
    </w:p>
    <w:p w14:paraId="70139DF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b.数据核对工作</w:t>
      </w:r>
    </w:p>
    <w:p w14:paraId="642C935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业务处室、阳光政务平台等提供数据，根据一网共享要求，进行核对，保障数据内容、规范、格式、字段等准确和完整性；</w:t>
      </w:r>
    </w:p>
    <w:p w14:paraId="3A50003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c.数据修改</w:t>
      </w:r>
    </w:p>
    <w:p w14:paraId="1DBED83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对采集的错误数据进行沟通、确认、修正，以及对一网共享退回数据进行修正；</w:t>
      </w:r>
    </w:p>
    <w:p w14:paraId="433C29E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d.数据维护</w:t>
      </w:r>
    </w:p>
    <w:p w14:paraId="5C3C150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对数据修改内容、时间、数据修改标记、退回原因等进行记录。</w:t>
      </w:r>
    </w:p>
    <w:p w14:paraId="0B7C436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e.网络调试工作</w:t>
      </w:r>
    </w:p>
    <w:p w14:paraId="6535772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网络联通测试、数据库连接测试、数据访问测试等工作。</w:t>
      </w:r>
    </w:p>
    <w:p w14:paraId="155C29C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f.配合一网共享调整工作</w:t>
      </w:r>
    </w:p>
    <w:p w14:paraId="0ADE142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对一网共享的最新要求、制度进行响应，配合用户完成一网共享前置机数据运营工作。</w:t>
      </w:r>
    </w:p>
    <w:p w14:paraId="11A23E4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g.日常运营工作</w:t>
      </w:r>
    </w:p>
    <w:p w14:paraId="2A6EE3B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对一网共享前置机维护所及的数据沟通、业务咨询、脚本编写和共享表单整理分类、配置、年度更新工作。</w:t>
      </w:r>
    </w:p>
    <w:p w14:paraId="1523DBF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2.数据发布平台年度数据更新运营</w:t>
      </w:r>
    </w:p>
    <w:p w14:paraId="7C25A7F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数据发布：对广东省实验动物使用许可证信息、自然科学奖获奖名单信息、青年科技创新奖获奖名单信息、广东省科技厅重点实验室建设立项信息、广东省高新技术企业名单信息、广东省实验动物生产许可证信息、技术发明奖获奖名单信息、科技成果推广奖获奖名单信息、广东省科技型中小企业入库登记信息、广东省科技创新普及领域立项结果信息、科技进步奖获奖名单信息、广东省工程技术研究中心名单信息、广东省科技报告摘要信息、省科技厅抽查检查信息、突出贡献奖获奖名单信息、科技合作奖获奖名单信息、广东省科技成果登记信息数据的维护。</w:t>
      </w:r>
    </w:p>
    <w:p w14:paraId="2528C51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数据分析：对广东省工程技术研究中心情况、高新技术企业各地区情况、新型研发机构各地区情况、各地市数据情况与分布分析。</w:t>
      </w:r>
    </w:p>
    <w:p w14:paraId="4491F05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需提交服务成果：</w:t>
      </w:r>
    </w:p>
    <w:p w14:paraId="7B45499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1.数据管理应用数据表单实施服务成果</w:t>
      </w:r>
    </w:p>
    <w:p w14:paraId="3592AFA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完成24个业务表单（含科技金融、一网共享、职务科技成果“先用后转”数据管理）的配置实施，覆盖元数据管理、流程配置、权限分配全流程；完成11项非格式化数据的结构化处理与专题应用对接；交付15个数据脚本，实现职务科技成果“先用后转”5个表单与数据中台的实时同步。</w:t>
      </w:r>
    </w:p>
    <w:p w14:paraId="0D5D6B1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2.已配置数据管理应用表单流程变更与表单调整运营服务</w:t>
      </w:r>
    </w:p>
    <w:p w14:paraId="73BA013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运营表单13个表单，完成审批流程与数据项的业务适配性优化。</w:t>
      </w:r>
    </w:p>
    <w:p w14:paraId="24DB2E7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3.共享数据运营服务成果</w:t>
      </w:r>
    </w:p>
    <w:p w14:paraId="3B5598E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完成17类公开数据的年度维护，输出《一网共享前置机数据维护运营报告》，涵盖台账管理、数据更新、网络调试等服务记录。</w:t>
      </w:r>
    </w:p>
    <w:p w14:paraId="3B678D37">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2.3科研信用管理应用运营</w:t>
      </w:r>
    </w:p>
    <w:p w14:paraId="1AA25FD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要求本项工作配备中级工程师开展实施工作，完成科研信用地市调用总览可视化数据统计分析服务，具体内容如下：</w:t>
      </w:r>
    </w:p>
    <w:p w14:paraId="35FC754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地市调用总览可视化分析包含：日期范围可以根据年月日固定调整也可以自定义设置时间区间；各地市累计调用接口总次数包含总计数量、法人接口调用数量、自然人接口调用数量，以及总计最高地市、总计法人接口最高地市、总计自然人接口最高地市；调用总体情况趋势图与明细，总次数、法人接口调用总次数、自然人接口调用总次数，通过折线图进行呈现，并可根据X轴调整年、月、日；地市接口调用明细数据，可进行各地市合计次数、法人接口次数、自然人接口次数筛选，通过柱状图和各地市接口调用清单表进行分析，清晰呈现各地市接口调用态势。</w:t>
      </w:r>
    </w:p>
    <w:p w14:paraId="723B29E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科研信用各地市调用明细可视化数据统计分析服务</w:t>
      </w:r>
    </w:p>
    <w:p w14:paraId="663FD54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通过地市调用总览可视化数据统计分析可进入地市调用明细。包含：可选择广东省各地市，进行数据分析；日期范围可以根据年月日固定固定调整也自定义设置时间区间；所选地市趋势分析与明细数据，累计调用接口总次数包含总计数量、法人接口调用数量、自然人接口调用数量；所选地市调用总次数、法人接口调用总次数、自然人接口调用总次数，通过折线图进行呈现，地市接口调用明细数据，通过接口调用合计、法人接口、自然人接口数量的清单表进行呈现。</w:t>
      </w:r>
    </w:p>
    <w:p w14:paraId="7DD1837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需提交服务成果：</w:t>
      </w:r>
    </w:p>
    <w:p w14:paraId="5815DAB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1.输出科研信用地市调用总览可视化数据统计分析页面，包括累计调用总量及分类（法人/自然人接口）、调用趋势、各地市调用量TOP排名等，全省21地市科研信用接口调用全景统计；</w:t>
      </w:r>
    </w:p>
    <w:p w14:paraId="43FE428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2.输出科研信用各地市调用明细可视化数据统计分析页面，包括各地市调用趋势、按日/月/年统计接口调用频次等数据统计分析。</w:t>
      </w:r>
    </w:p>
    <w:p w14:paraId="48D18B1E">
      <w:pPr>
        <w:ind w:firstLine="560" w:firstLineChars="200"/>
        <w:outlineLvl w:val="1"/>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w:t>
      </w:r>
      <w:r>
        <w:rPr>
          <w:rFonts w:hint="eastAsia" w:ascii="Times New Roman" w:hAnsi="Times New Roman" w:eastAsia="仿宋_GB2312" w:cs="仿宋_GB2312"/>
          <w:color w:val="auto"/>
          <w:sz w:val="28"/>
          <w:szCs w:val="28"/>
        </w:rPr>
        <w:t>服务要求</w:t>
      </w:r>
    </w:p>
    <w:p w14:paraId="34824205">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3.1</w:t>
      </w:r>
      <w:r>
        <w:rPr>
          <w:rFonts w:hint="eastAsia" w:ascii="Times New Roman" w:hAnsi="Times New Roman" w:eastAsia="仿宋_GB2312" w:cs="仿宋_GB2312"/>
          <w:color w:val="auto"/>
          <w:sz w:val="28"/>
          <w:szCs w:val="28"/>
        </w:rPr>
        <w:t>技术要求</w:t>
      </w:r>
    </w:p>
    <w:p w14:paraId="6714128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要求根据“数字政府”整体改革方向和要求，基于“一网统管”科技创新专题往期项目基础进行四期（2026年）项目的建设，具体如下：</w:t>
      </w:r>
    </w:p>
    <w:p w14:paraId="5AA5E66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整体平台将采用云计算架构设计，包括基础设施、数据源、支撑层、应用层、交互层。</w:t>
      </w:r>
    </w:p>
    <w:p w14:paraId="35AAE46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基础设施层包含政务云、政务外网。科技创新专题部署于广东省“数字政府”政务云，以政务云和政务网的基础支撑，提供本项目所需的计算资源、存储及政务外网等设施基础。</w:t>
      </w:r>
    </w:p>
    <w:p w14:paraId="4E31C68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数据源主要包含广东省数据资源“一网共享”平台交换过来的数据（位于一网共享前置机）、科技内部的数据以及第三方数据，以及建设的主题库和专题库。主题数据库是经过数据中台处理后形成多个主题数据库，支撑专题应用开发。本期不涉及相关内容建设。</w:t>
      </w:r>
    </w:p>
    <w:p w14:paraId="7B1E4D6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支撑层主要包括省数字政府提供的支撑能力来源于粤治慧平台。数据中台是提供大数据平台框架、数据中台能力和。数据中台提供多源数据融合能力、数据治理能力、数据分析、数据服务等功能，本项目涉及对原国家－省－地市接口进行国产化改造，基于国产化的数据中台、数据管理应用系统等系统开发国产化数据接口。</w:t>
      </w:r>
    </w:p>
    <w:p w14:paraId="0A4040E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应用层包含包含了“一网统管”科技创新专题、职务科技成果“先用后转”数据管理应用、科研信用数据管理、数据管理应用等数据应用。本项目新增职务科技成果“先用后转”数据管理应用建设。</w:t>
      </w:r>
    </w:p>
    <w:p w14:paraId="226DDE2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用户层主要服务大中小屏。</w:t>
      </w:r>
    </w:p>
    <w:p w14:paraId="10EC961D">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3.1.1</w:t>
      </w:r>
      <w:r>
        <w:rPr>
          <w:rFonts w:hint="eastAsia" w:ascii="Times New Roman" w:hAnsi="Times New Roman" w:eastAsia="仿宋_GB2312" w:cs="仿宋_GB2312"/>
          <w:color w:val="auto"/>
          <w:sz w:val="28"/>
          <w:szCs w:val="28"/>
        </w:rPr>
        <w:t>技术路线</w:t>
      </w:r>
    </w:p>
    <w:p w14:paraId="6247D92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软件选型需充分考虑稳定性、安全性以及可维护性等原则，选择成熟、稳定和先进的系统架构及软件开发技术。系统建设和运作严格按照《信息安全等级保护管理办法》和国家、省、部委、行业有关规定执行。支持国家自主可控要求、支持国家密码局认定的密码算法，保证信息安全可控，支持SM2、SM3、SM4等国密加密算法。系统需采用先进的数据采集、数据存储、数据计算、数据分析等技术路线，可以适应各种规模、各种类型的计算需求和要求，保证系统的稳定性、高性能和可扩展性。</w:t>
      </w:r>
    </w:p>
    <w:p w14:paraId="02CF64DD">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3.1.2</w:t>
      </w:r>
      <w:r>
        <w:rPr>
          <w:rFonts w:hint="eastAsia" w:ascii="Times New Roman" w:hAnsi="Times New Roman" w:eastAsia="仿宋_GB2312" w:cs="仿宋_GB2312"/>
          <w:color w:val="auto"/>
          <w:sz w:val="28"/>
          <w:szCs w:val="28"/>
        </w:rPr>
        <w:t>性能要求</w:t>
      </w:r>
    </w:p>
    <w:p w14:paraId="142F46E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1.保障业务系统的运行正常：每次系统运行故障处理时间&lt;4小时，年度累积&lt;24小时。</w:t>
      </w:r>
    </w:p>
    <w:p w14:paraId="355961A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2.技术支撑服务：按时按质完成年内的各项运营服务，认真接听用户咨询电话，回答解决用户的技术问题。</w:t>
      </w:r>
    </w:p>
    <w:p w14:paraId="4BDA169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3.保证服务质量：年度有效服务质量投诉&lt;10次。</w:t>
      </w:r>
    </w:p>
    <w:p w14:paraId="16DA7230">
      <w:pPr>
        <w:ind w:firstLine="560" w:firstLineChars="200"/>
        <w:outlineLvl w:val="3"/>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3.1.3</w:t>
      </w:r>
      <w:r>
        <w:rPr>
          <w:rFonts w:hint="eastAsia" w:ascii="Times New Roman" w:hAnsi="Times New Roman" w:eastAsia="仿宋_GB2312" w:cs="仿宋_GB2312"/>
          <w:color w:val="auto"/>
          <w:sz w:val="28"/>
          <w:szCs w:val="28"/>
        </w:rPr>
        <w:t>安全要求</w:t>
      </w:r>
    </w:p>
    <w:p w14:paraId="0F1640C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期项目需按照国家标准《信息安全技术网络安全等级保护基本要求》（GB/T22239-2019）进行安全设计，按照《信息系统安全等级保护定级指南》（GB/T22240）要求，将成果部署在省数字政府政务云上。同时本项目按照信息系统安全等级保护三级要求开展，并符合国产化要求以及商用密码改造要求。在系统使用过程中，若投标人对系统进行信息安全三级保护评估和商用密码评估，对于技术方面需要整改的，投标人免费进行整改。</w:t>
      </w:r>
    </w:p>
    <w:p w14:paraId="5FD40030">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3.2</w:t>
      </w:r>
      <w:r>
        <w:rPr>
          <w:rFonts w:hint="eastAsia" w:ascii="Times New Roman" w:hAnsi="Times New Roman" w:eastAsia="仿宋_GB2312" w:cs="仿宋_GB2312"/>
          <w:color w:val="auto"/>
          <w:sz w:val="28"/>
          <w:szCs w:val="28"/>
        </w:rPr>
        <w:t>标准规范要求</w:t>
      </w:r>
    </w:p>
    <w:p w14:paraId="60F420D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本项目应遵循如下标准规范具体开展工作：</w:t>
      </w:r>
    </w:p>
    <w:p w14:paraId="067AF52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投标人需遵循标准规范包括但不限于以下（对于有版本区别的规范及标准，如未注明均指发布的最新版本），在质保期内若有新的标准规范发布，投标人应确保满足有关要求：</w:t>
      </w:r>
    </w:p>
    <w:p w14:paraId="01FA1BA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1.标准规范</w:t>
      </w:r>
    </w:p>
    <w:p w14:paraId="228AB41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（1）GB/T 11457-2006《信息技术 软件工程术语》</w:t>
      </w:r>
    </w:p>
    <w:p w14:paraId="06E4B7F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（2）GB/T 8566-2007《信息技术 软件生存周期过程》</w:t>
      </w:r>
    </w:p>
    <w:p w14:paraId="6A0C2A09">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（3）GB/T 8567-2006《计算机软件文档编制规范》</w:t>
      </w:r>
    </w:p>
    <w:p w14:paraId="2074A45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（4）GB/T 9385-2008《计算机软件需求规格说明规范》指南</w:t>
      </w:r>
    </w:p>
    <w:p w14:paraId="6F385C6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（5）GB/T 30850.1-2014《电子政务标准化指南第1部分：总则》</w:t>
      </w:r>
    </w:p>
    <w:p w14:paraId="147B30C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（6）GB/T 30850.2-2014《电子政务标准化指南第2部分：工程管理》</w:t>
      </w:r>
    </w:p>
    <w:p w14:paraId="1599D4A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（7）GB/T 30850.3-2014《电子政务标准化指南第3部分：网络建设》</w:t>
      </w:r>
    </w:p>
    <w:p w14:paraId="069203B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（8）GB/T 30850.4-2017《电子政务标准化指南第4部分：信息共享》</w:t>
      </w:r>
    </w:p>
    <w:p w14:paraId="0A8E554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（9）GB/T 30850.5-2014《电子政务标准化指南第5部分：支撑技术》</w:t>
      </w:r>
    </w:p>
    <w:p w14:paraId="2B5CA380">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（10）GB/T 19486-2004《电子政务主题词表编制规则》</w:t>
      </w:r>
    </w:p>
    <w:p w14:paraId="74B49AE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（11）GB/T 19487-2004《电子政务业务流程设计方法通用规范》</w:t>
      </w:r>
    </w:p>
    <w:p w14:paraId="65A787F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（12）GB/T 19488.1-2004《电子政务数据元第1部分：设计和管理规范》</w:t>
      </w:r>
    </w:p>
    <w:p w14:paraId="4C22F7A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（13）GB/Z 19669-2005《XML在电子政务中的应用指南》</w:t>
      </w:r>
    </w:p>
    <w:p w14:paraId="262B627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（14）GB/T 21061-2007《国家电子政务网络技术和运行管理规范》</w:t>
      </w:r>
    </w:p>
    <w:p w14:paraId="0710408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（15）GB50174-2017《数据中心设计规范》</w:t>
      </w:r>
    </w:p>
    <w:p w14:paraId="75A9447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（16）GB/T 22239-2019《信息安全技术 网络安全等级保护基本要求》</w:t>
      </w:r>
    </w:p>
    <w:p w14:paraId="3292F04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2.其他文件</w:t>
      </w:r>
    </w:p>
    <w:p w14:paraId="141FD862">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（1）广东省数字政府省域治理“一网统管”总体技术方案－总册</w:t>
      </w:r>
    </w:p>
    <w:p w14:paraId="6A5BFCD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（2）广东省数字政府省域治理“一网统管”总体技术方案－标准规范分册</w:t>
      </w:r>
    </w:p>
    <w:p w14:paraId="08D86D5B">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（3）广东省数字政府省域治理“一网统管”总体技术方案－基础平台分册</w:t>
      </w:r>
    </w:p>
    <w:p w14:paraId="458A2D9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（4）广东省数字政府省域治理“一网统管”总体技术方案－基础能力提升分册</w:t>
      </w:r>
    </w:p>
    <w:p w14:paraId="7DF3185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（5）广东省数字政府省域治理“一网统管”总体技术方案－应用专题建设分册</w:t>
      </w:r>
    </w:p>
    <w:p w14:paraId="35F3977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（6）广东省数字政府省域治理“一网统管”粤治慧平台对接指引分册1UI风格设计指引</w:t>
      </w:r>
    </w:p>
    <w:p w14:paraId="6A828F5F">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3.3</w:t>
      </w:r>
      <w:r>
        <w:rPr>
          <w:rFonts w:hint="eastAsia" w:ascii="Times New Roman" w:hAnsi="Times New Roman" w:eastAsia="仿宋_GB2312" w:cs="仿宋_GB2312"/>
          <w:color w:val="auto"/>
          <w:sz w:val="28"/>
          <w:szCs w:val="28"/>
        </w:rPr>
        <w:t>培训要求</w:t>
      </w:r>
    </w:p>
    <w:p w14:paraId="717739C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为保证用户能够有效地操作使用本项目建设的系统及相关内容，</w:t>
      </w:r>
    </w:p>
    <w:p w14:paraId="4DEDD67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1.投标人须提供系统维护及使用方面的培训，包括对采购人和部门使用人员的培训，有关系统使用的培训课程，培训应该在项目验收前进行。</w:t>
      </w:r>
    </w:p>
    <w:p w14:paraId="5BB2C7C5">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2.投标人需针对用户的角色提供培训课程，如系统管理员、普通用户、领导等角色，安排不同的培训课程。投标人须在响应文件中提出培训课程以及时间表。</w:t>
      </w:r>
    </w:p>
    <w:p w14:paraId="7DF77F33">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3.对于所有培训，投标人须派出具有相应专业资格和实际工作经验的辅导人员进行培训，培训所使用的语言须是中文，否则投标人须提供相应的翻译。</w:t>
      </w:r>
    </w:p>
    <w:p w14:paraId="5EF963C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4.培训费用（教材费、讲课费等培训组织相关费用）计入总价。</w:t>
      </w:r>
    </w:p>
    <w:p w14:paraId="525A3A78">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3.4</w:t>
      </w:r>
      <w:r>
        <w:rPr>
          <w:rFonts w:hint="eastAsia" w:ascii="Times New Roman" w:hAnsi="Times New Roman" w:eastAsia="仿宋_GB2312" w:cs="仿宋_GB2312"/>
          <w:color w:val="auto"/>
          <w:sz w:val="28"/>
          <w:szCs w:val="28"/>
        </w:rPr>
        <w:t>服务响应要求</w:t>
      </w:r>
    </w:p>
    <w:p w14:paraId="2D05E66A">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根据《广东省突发公共事件总体应急预案》《广东省科学技术厅网络与信息系统安全应急处置预案》等有关规定做好应急事件处理，平台应急管理工作遵循统一领导、快速响应、规范管理的原则，全力保障平台安全、稳定、正常运行，确保以最高效率发现异常事件、最快速度控制事态发展，使异常事件造成的伤害、损失和影响降到最低程度。</w:t>
      </w:r>
    </w:p>
    <w:p w14:paraId="032DAB1C">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S3（轻微）等级事件：指事件原因明确，影响范围较小，解决办法清晰，可快速解决，且不会对平台运作造成影响。此类事件发生后，技术人员应立即解决处理，记录事件情况、发生原因、影响范围、解决办法，当天按程序汇报。</w:t>
      </w:r>
    </w:p>
    <w:p w14:paraId="750080D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S2（一般）等级事件：指事件原因基本明确，具有切实可行的解决办法，但耗时较长，可能会影响平台正常运作。此类事件发生后，技术人员应立即将事件情况、发生原因、影响范围、解决办法、预计解决时长等信息，按程序请示汇报后确定。</w:t>
      </w:r>
    </w:p>
    <w:p w14:paraId="3EE6AD8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S1（严重）等级事件：指事件原因不明，影响面较大，暂无解决办法，可能导致平台无法正常运作。此类事件发生后，技术人员应立即将事件情况、发生原因、影响范围、解决办法、预计解决时长等信息，按程序请示汇报后确定解决办法。</w:t>
      </w:r>
    </w:p>
    <w:p w14:paraId="1F9109A1">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供应商提供7×24的故障处理服务。报障的响应时间为30分钟，1小时内到达现场进行维护。若故障无法排除为非供应商的原因，供应商需参与故障分析、故障处理，直至故障修复。</w:t>
      </w:r>
    </w:p>
    <w:p w14:paraId="1C4E8FE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特殊保障要求：采购人如有重大事件或重要会议等特殊保障要求时，供应商应能按照要求提供服务保障平台正常运行。</w:t>
      </w:r>
    </w:p>
    <w:p w14:paraId="43E6CB9E">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3.5</w:t>
      </w:r>
      <w:r>
        <w:rPr>
          <w:rFonts w:hint="eastAsia" w:ascii="Times New Roman" w:hAnsi="Times New Roman" w:eastAsia="仿宋_GB2312" w:cs="仿宋_GB2312"/>
          <w:color w:val="auto"/>
          <w:sz w:val="28"/>
          <w:szCs w:val="28"/>
        </w:rPr>
        <w:t>资产权属要求</w:t>
      </w:r>
    </w:p>
    <w:p w14:paraId="2A6593F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1.本项目不会引起任何已申请、登记的知识产权所有权的转移。</w:t>
      </w:r>
    </w:p>
    <w:p w14:paraId="18F9CD37">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2.投标人、采购人双方一致同意，本项目所涉服务成果的知识产权归属按下列第（1）、（3）种方式处理：</w:t>
      </w:r>
    </w:p>
    <w:p w14:paraId="5957637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（1）投标人负责开发软件服务，包括代码编写、调试、测试等开发工作，投标人为履行本合同义务所形成的服务成果的知识产权归采购人单独所有。</w:t>
      </w:r>
    </w:p>
    <w:p w14:paraId="4377267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投标人负责提供定制软件租赁服务，采购人基于本合同约定委托投标人定制开发的产品、程序、服务等的知识产权归采购人、投标人共同所有，投标人应按采购人书面要求交付该共有部分的源代码；投标人在共有部分的基础上进行二次开发的及对二次开发形成的产品、程序等财产进行处置的，需经采购人书面同意，二次开发所形成的产品、程序、服务等的知识产权归开发者所有，共有部分仍归采购人、投标人共同所有。投标人根据采购人授权，利用项目成果申请的商标、专利或输出的图片、视频等受知识产权保护的成果物，采购人有权无条件永久使用。</w:t>
      </w:r>
    </w:p>
    <w:p w14:paraId="6C86058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（3）投标人负责提供运营服务或成品软件租赁服务，投标人为履行本合同义务所形成的所有服务成果的知识产权（除成品软件开发涉及的知识产权）归采购人单独所有。</w:t>
      </w:r>
    </w:p>
    <w:p w14:paraId="1559D2C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（4）本项目仅包含基础设施服务租用或运维服务，不涉及知识产权权属转移。</w:t>
      </w:r>
    </w:p>
    <w:p w14:paraId="4C15517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3.本合同所涉及的数据所有权归省科技厅所有。投标人只能用于履行本合同之义务。</w:t>
      </w:r>
    </w:p>
    <w:p w14:paraId="03EE3896">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4.投标人提供的相关软件应是自行开发的产品或具备合法、合规授权，满足知识产权、安全等保三级等方面的有关规定和要求。</w:t>
      </w:r>
    </w:p>
    <w:p w14:paraId="33682644">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5.投标人保证向采购人提供的服务成果是其独立实施完成，不存在任何侵犯第三方专利权、商标权、著作权等合法权益。如因投标人提供的服务成果侵犯任何第三方的合法权益，导致该第三方追究采购人责任的，投标人应负责解决并赔偿因此给采购人造成的全部损失。</w:t>
      </w:r>
    </w:p>
    <w:p w14:paraId="7B59EE34">
      <w:pPr>
        <w:ind w:firstLine="560" w:firstLineChars="200"/>
        <w:outlineLvl w:val="2"/>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lang w:val="en-US" w:eastAsia="zh-CN"/>
        </w:rPr>
        <w:t>3.6</w:t>
      </w:r>
      <w:r>
        <w:rPr>
          <w:rFonts w:hint="eastAsia" w:ascii="Times New Roman" w:hAnsi="Times New Roman" w:eastAsia="仿宋_GB2312" w:cs="仿宋_GB2312"/>
          <w:color w:val="auto"/>
          <w:sz w:val="28"/>
          <w:szCs w:val="28"/>
        </w:rPr>
        <w:t>保密要求</w:t>
      </w:r>
    </w:p>
    <w:p w14:paraId="52B2D7CF">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1.投标人应签订保密协议，对其因身份、职务、职业或技术关系而知悉的采购人商业秘密和党政机关保密信息应严格保守，保证不被披露或使用，包括意外或过失。</w:t>
      </w:r>
    </w:p>
    <w:p w14:paraId="691B942E">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2.投标人不得以竞争为目的或出于私利或为第三人谋利而擅自保存、披露、使用采购人商业秘密和党政机关保密信息；不得直接或间接地向无关人员泄露采购人的商业秘密和党政机关保密信息；不得向不承担保密义务的任何第三方披露采购人的商业秘密和党政机关保密信息。投标人在从事政府项目时，不得擅自记录、复制、拍摄、摘抄、收藏在工作中涉及的保密信息，严禁将涉及政府项目的任何资料、数据透露或以其他方式提供给项目以外的其他方，或投标人内部与该项目无关的任何人员。</w:t>
      </w:r>
    </w:p>
    <w:p w14:paraId="79736AFD">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 xml:space="preserve">3.投标人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 </w:t>
      </w:r>
    </w:p>
    <w:p w14:paraId="35397538">
      <w:pPr>
        <w:ind w:firstLine="560" w:firstLineChars="20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4.严禁泄露在工作中接触到的政府机关科技研究、发明、装备器材及其技术资料和政府工作信息。</w:t>
      </w:r>
    </w:p>
    <w:p w14:paraId="6F30A9EF">
      <w:pPr>
        <w:pStyle w:val="13"/>
        <w:ind w:firstLine="560" w:firstLineChars="200"/>
        <w:outlineLvl w:val="1"/>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4.管理要求</w:t>
      </w:r>
    </w:p>
    <w:p w14:paraId="58741DCA">
      <w:pPr>
        <w:ind w:firstLine="560" w:firstLineChars="200"/>
        <w:outlineLvl w:val="2"/>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4.1体系认证</w:t>
      </w:r>
    </w:p>
    <w:p w14:paraId="6228F74A">
      <w:pPr>
        <w:pStyle w:val="13"/>
        <w:ind w:firstLine="560" w:firstLineChars="200"/>
        <w:outlineLvl w:val="9"/>
        <w:rPr>
          <w:rFonts w:hint="default"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投标人需提供ISO9001质量管理体系认证、ISO14001环境管理体系认证、ISO45001职业健康安全管理体系认证、GB/T 27922售后服务认证等体系认证证书，认证范围需同时包含以下内容：“计算机信息系统集成服务”、“计算机应用软件开发”、“数据安全”。（注：须提供认证证书扫描件及在全国认证认可信息公共服务平台（http://cx.cnca.cn/）对体系证书的信息查询截图）</w:t>
      </w:r>
    </w:p>
    <w:p w14:paraId="11B77D97">
      <w:pPr>
        <w:ind w:firstLine="560" w:firstLineChars="200"/>
        <w:outlineLvl w:val="2"/>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4.2服务团队</w:t>
      </w:r>
    </w:p>
    <w:p w14:paraId="6C6B40BA">
      <w:pPr>
        <w:ind w:firstLine="560" w:firstLineChars="200"/>
        <w:outlineLvl w:val="3"/>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投标人须针对本项目组建专门服务团队，服务团队总人数不得少于6人（含驻场人员）。</w:t>
      </w:r>
    </w:p>
    <w:p w14:paraId="1A096DC0">
      <w:pPr>
        <w:ind w:firstLine="560" w:firstLineChars="200"/>
        <w:outlineLvl w:val="3"/>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4.2.1项目经理</w:t>
      </w:r>
    </w:p>
    <w:p w14:paraId="5D9FDE9B">
      <w:pPr>
        <w:ind w:firstLine="560" w:firstLineChars="200"/>
        <w:outlineLvl w:val="9"/>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投标人承诺的项目经理1人，</w:t>
      </w:r>
      <w:r>
        <w:rPr>
          <w:rFonts w:hint="default" w:ascii="Times New Roman" w:hAnsi="Times New Roman" w:eastAsia="仿宋_GB2312" w:cs="仿宋_GB2312"/>
          <w:color w:val="auto"/>
          <w:sz w:val="28"/>
          <w:szCs w:val="28"/>
          <w:lang w:val="en-US" w:eastAsia="zh-CN"/>
        </w:rPr>
        <w:t>具备信息系统管理工程师（计算机技术与软件专业技术资格）</w:t>
      </w:r>
      <w:r>
        <w:rPr>
          <w:rFonts w:hint="eastAsia" w:ascii="Times New Roman" w:hAnsi="Times New Roman" w:eastAsia="仿宋_GB2312" w:cs="仿宋_GB2312"/>
          <w:color w:val="auto"/>
          <w:sz w:val="28"/>
          <w:szCs w:val="28"/>
          <w:lang w:val="en-US" w:eastAsia="zh-CN"/>
        </w:rPr>
        <w:t>、</w:t>
      </w:r>
      <w:r>
        <w:rPr>
          <w:rFonts w:hint="default" w:ascii="Times New Roman" w:hAnsi="Times New Roman" w:eastAsia="仿宋_GB2312" w:cs="仿宋_GB2312"/>
          <w:color w:val="auto"/>
          <w:sz w:val="28"/>
          <w:szCs w:val="28"/>
          <w:lang w:val="en-US" w:eastAsia="zh-CN"/>
        </w:rPr>
        <w:t>系统规划与管理师（计算机技术与软件专业技术资格）</w:t>
      </w:r>
      <w:r>
        <w:rPr>
          <w:rFonts w:hint="eastAsia" w:ascii="Times New Roman" w:hAnsi="Times New Roman" w:eastAsia="仿宋_GB2312" w:cs="仿宋_GB2312"/>
          <w:color w:val="auto"/>
          <w:sz w:val="28"/>
          <w:szCs w:val="28"/>
          <w:lang w:val="en-US" w:eastAsia="zh-CN"/>
        </w:rPr>
        <w:t>、</w:t>
      </w:r>
      <w:r>
        <w:rPr>
          <w:rFonts w:hint="default" w:ascii="Times New Roman" w:hAnsi="Times New Roman" w:eastAsia="仿宋_GB2312" w:cs="仿宋_GB2312"/>
          <w:color w:val="auto"/>
          <w:sz w:val="28"/>
          <w:szCs w:val="28"/>
          <w:lang w:val="en-US" w:eastAsia="zh-CN"/>
        </w:rPr>
        <w:t>信息安全保障人员认证（CISAW）</w:t>
      </w:r>
      <w:r>
        <w:rPr>
          <w:rFonts w:hint="eastAsia" w:ascii="Times New Roman" w:hAnsi="Times New Roman" w:eastAsia="仿宋_GB2312" w:cs="仿宋_GB2312"/>
          <w:color w:val="auto"/>
          <w:sz w:val="28"/>
          <w:szCs w:val="28"/>
          <w:lang w:val="en-US" w:eastAsia="zh-CN"/>
        </w:rPr>
        <w:t>等</w:t>
      </w:r>
      <w:r>
        <w:rPr>
          <w:rFonts w:hint="default" w:ascii="Times New Roman" w:hAnsi="Times New Roman" w:eastAsia="仿宋_GB2312" w:cs="仿宋_GB2312"/>
          <w:color w:val="auto"/>
          <w:sz w:val="28"/>
          <w:szCs w:val="28"/>
          <w:lang w:val="en-US" w:eastAsia="zh-CN"/>
        </w:rPr>
        <w:t>证书</w:t>
      </w:r>
      <w:r>
        <w:rPr>
          <w:rFonts w:hint="eastAsia" w:ascii="Times New Roman" w:hAnsi="Times New Roman" w:eastAsia="仿宋_GB2312" w:cs="仿宋_GB2312"/>
          <w:color w:val="auto"/>
          <w:sz w:val="28"/>
          <w:szCs w:val="28"/>
          <w:lang w:val="en-US" w:eastAsia="zh-CN"/>
        </w:rPr>
        <w:t>。</w:t>
      </w:r>
    </w:p>
    <w:p w14:paraId="22FCD57C">
      <w:pPr>
        <w:ind w:firstLine="560" w:firstLineChars="200"/>
        <w:outlineLvl w:val="3"/>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4.2.2技术负责人</w:t>
      </w:r>
    </w:p>
    <w:p w14:paraId="1A02E340">
      <w:pPr>
        <w:ind w:firstLine="560" w:firstLineChars="200"/>
        <w:outlineLvl w:val="9"/>
        <w:rPr>
          <w:rFonts w:hint="default"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投标人承诺的技术负责人1人（与项目经理不为同1人），须</w:t>
      </w:r>
      <w:r>
        <w:rPr>
          <w:rFonts w:hint="default" w:ascii="Times New Roman" w:hAnsi="Times New Roman" w:eastAsia="仿宋_GB2312" w:cs="仿宋_GB2312"/>
          <w:color w:val="auto"/>
          <w:sz w:val="28"/>
          <w:szCs w:val="28"/>
          <w:lang w:val="en-US" w:eastAsia="zh-CN"/>
        </w:rPr>
        <w:t>具备网络规划设计师</w:t>
      </w:r>
      <w:r>
        <w:rPr>
          <w:rFonts w:hint="eastAsia" w:ascii="Times New Roman" w:hAnsi="Times New Roman" w:eastAsia="仿宋_GB2312" w:cs="仿宋_GB2312"/>
          <w:color w:val="auto"/>
          <w:sz w:val="28"/>
          <w:szCs w:val="28"/>
          <w:lang w:val="en-US" w:eastAsia="zh-CN"/>
        </w:rPr>
        <w:t>、</w:t>
      </w:r>
      <w:r>
        <w:rPr>
          <w:rFonts w:hint="default" w:ascii="Times New Roman" w:hAnsi="Times New Roman" w:eastAsia="仿宋_GB2312" w:cs="仿宋_GB2312"/>
          <w:color w:val="auto"/>
          <w:sz w:val="28"/>
          <w:szCs w:val="28"/>
          <w:lang w:val="en-US" w:eastAsia="zh-CN"/>
        </w:rPr>
        <w:t>信息系统项目管理师</w:t>
      </w:r>
      <w:r>
        <w:rPr>
          <w:rFonts w:hint="eastAsia" w:ascii="Times New Roman" w:hAnsi="Times New Roman" w:eastAsia="仿宋_GB2312" w:cs="仿宋_GB2312"/>
          <w:color w:val="auto"/>
          <w:sz w:val="28"/>
          <w:szCs w:val="28"/>
          <w:lang w:val="en-US" w:eastAsia="zh-CN"/>
        </w:rPr>
        <w:t>、</w:t>
      </w:r>
      <w:r>
        <w:rPr>
          <w:rFonts w:hint="default" w:ascii="Times New Roman" w:hAnsi="Times New Roman" w:eastAsia="仿宋_GB2312" w:cs="仿宋_GB2312"/>
          <w:color w:val="auto"/>
          <w:sz w:val="28"/>
          <w:szCs w:val="28"/>
          <w:lang w:val="en-US" w:eastAsia="zh-CN"/>
        </w:rPr>
        <w:t>系统集成项目管理工程师</w:t>
      </w:r>
      <w:r>
        <w:rPr>
          <w:rFonts w:hint="eastAsia" w:ascii="Times New Roman" w:hAnsi="Times New Roman" w:eastAsia="仿宋_GB2312" w:cs="仿宋_GB2312"/>
          <w:color w:val="auto"/>
          <w:sz w:val="28"/>
          <w:szCs w:val="28"/>
          <w:lang w:val="en-US" w:eastAsia="zh-CN"/>
        </w:rPr>
        <w:t>等</w:t>
      </w:r>
      <w:r>
        <w:rPr>
          <w:rFonts w:hint="default" w:ascii="Times New Roman" w:hAnsi="Times New Roman" w:eastAsia="仿宋_GB2312" w:cs="仿宋_GB2312"/>
          <w:color w:val="auto"/>
          <w:sz w:val="28"/>
          <w:szCs w:val="28"/>
          <w:lang w:val="en-US" w:eastAsia="zh-CN"/>
        </w:rPr>
        <w:t>计算机技术与软件专业技术资格</w:t>
      </w:r>
      <w:r>
        <w:rPr>
          <w:rFonts w:hint="eastAsia" w:ascii="Times New Roman" w:hAnsi="Times New Roman" w:eastAsia="仿宋_GB2312" w:cs="仿宋_GB2312"/>
          <w:color w:val="auto"/>
          <w:sz w:val="28"/>
          <w:szCs w:val="28"/>
          <w:lang w:val="en-US" w:eastAsia="zh-CN"/>
        </w:rPr>
        <w:t>证书。</w:t>
      </w:r>
    </w:p>
    <w:p w14:paraId="479B3F54">
      <w:pPr>
        <w:ind w:firstLine="560" w:firstLineChars="200"/>
        <w:outlineLvl w:val="3"/>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4.2.3其他服务人员</w:t>
      </w:r>
    </w:p>
    <w:p w14:paraId="5E0656EF">
      <w:pPr>
        <w:ind w:firstLine="560" w:firstLineChars="200"/>
        <w:outlineLvl w:val="9"/>
        <w:rPr>
          <w:rFonts w:hint="default"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投标人承诺的其他服务人员（项目经理、技术负责人除外）须提供2名驻场服务人员，相关服务人员须</w:t>
      </w:r>
      <w:r>
        <w:rPr>
          <w:rFonts w:hint="default" w:ascii="Times New Roman" w:hAnsi="Times New Roman" w:eastAsia="仿宋_GB2312" w:cs="仿宋_GB2312"/>
          <w:color w:val="auto"/>
          <w:sz w:val="28"/>
          <w:szCs w:val="28"/>
          <w:lang w:val="en-US" w:eastAsia="zh-CN"/>
        </w:rPr>
        <w:t>具备计算机技术与软件专业技术资格的系统分析师或系统架构设计师</w:t>
      </w:r>
      <w:r>
        <w:rPr>
          <w:rFonts w:hint="eastAsia" w:ascii="Times New Roman" w:hAnsi="Times New Roman" w:eastAsia="仿宋_GB2312" w:cs="仿宋_GB2312"/>
          <w:color w:val="auto"/>
          <w:sz w:val="28"/>
          <w:szCs w:val="28"/>
          <w:lang w:val="en-US" w:eastAsia="zh-CN"/>
        </w:rPr>
        <w:t>、</w:t>
      </w:r>
      <w:r>
        <w:rPr>
          <w:rFonts w:hint="default" w:ascii="Times New Roman" w:hAnsi="Times New Roman" w:eastAsia="仿宋_GB2312" w:cs="仿宋_GB2312"/>
          <w:color w:val="auto"/>
          <w:sz w:val="28"/>
          <w:szCs w:val="28"/>
          <w:lang w:val="en-US" w:eastAsia="zh-CN"/>
        </w:rPr>
        <w:t>计算机技术与软件专业技术资格的软件设计师或数据库系统工程师</w:t>
      </w:r>
      <w:r>
        <w:rPr>
          <w:rFonts w:hint="eastAsia" w:ascii="Times New Roman" w:hAnsi="Times New Roman" w:eastAsia="仿宋_GB2312" w:cs="仿宋_GB2312"/>
          <w:color w:val="auto"/>
          <w:sz w:val="28"/>
          <w:szCs w:val="28"/>
          <w:lang w:val="en-US" w:eastAsia="zh-CN"/>
        </w:rPr>
        <w:t>等证书。</w:t>
      </w:r>
    </w:p>
    <w:p w14:paraId="56E80E22">
      <w:pPr>
        <w:ind w:firstLine="560" w:firstLineChars="200"/>
        <w:outlineLvl w:val="2"/>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4.3项目业绩</w:t>
      </w:r>
    </w:p>
    <w:p w14:paraId="0E2CB4BF">
      <w:pPr>
        <w:ind w:firstLine="560" w:firstLineChars="200"/>
        <w:outlineLvl w:val="9"/>
        <w:rPr>
          <w:rFonts w:hint="eastAsia" w:ascii="Times New Roman" w:hAnsi="Times New Roman" w:eastAsia="仿宋_GB2312" w:cs="仿宋_GB2312"/>
          <w:color w:val="auto"/>
          <w:sz w:val="28"/>
          <w:szCs w:val="28"/>
          <w:lang w:val="en-US" w:eastAsia="zh-CN"/>
        </w:rPr>
      </w:pPr>
      <w:r>
        <w:rPr>
          <w:rFonts w:hint="eastAsia" w:ascii="Times New Roman" w:hAnsi="Times New Roman" w:eastAsia="仿宋_GB2312" w:cs="仿宋_GB2312"/>
          <w:color w:val="auto"/>
          <w:sz w:val="28"/>
          <w:szCs w:val="28"/>
          <w:lang w:val="en-US" w:eastAsia="zh-CN"/>
        </w:rPr>
        <w:t>投标人2023年1月1日以来（以合同签订时间为准）承担的同类业绩。（注：合同标题或建设内容中至少包含数字政府、一网统管、科技创新等一个或以上关键词）</w:t>
      </w:r>
    </w:p>
    <w:p w14:paraId="2C0D299E">
      <w:pPr>
        <w:keepNext w:val="0"/>
        <w:keepLines w:val="0"/>
        <w:pageBreakBefore w:val="0"/>
        <w:widowControl/>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b w:val="0"/>
          <w:bCs w:val="0"/>
          <w:smallCaps w:val="0"/>
          <w:color w:val="auto"/>
          <w:sz w:val="32"/>
          <w:szCs w:val="32"/>
        </w:rPr>
      </w:pPr>
      <w:r>
        <w:rPr>
          <w:rFonts w:hint="eastAsia" w:ascii="黑体" w:hAnsi="黑体" w:eastAsia="黑体" w:cs="黑体"/>
          <w:b w:val="0"/>
          <w:bCs w:val="0"/>
          <w:smallCaps w:val="0"/>
          <w:color w:val="auto"/>
          <w:sz w:val="32"/>
          <w:szCs w:val="32"/>
        </w:rPr>
        <w:t>三、采购项目服务期限</w:t>
      </w:r>
    </w:p>
    <w:p w14:paraId="1B03D657">
      <w:pPr>
        <w:ind w:firstLine="420" w:firstLineChars="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定制软件开发服务周期12个月，以合同签订之日为服务起始时间，项目最终验收通过后，提供1年运维服务。</w:t>
      </w:r>
    </w:p>
    <w:p w14:paraId="4ADEC7B8">
      <w:pPr>
        <w:ind w:firstLine="420" w:firstLineChars="0"/>
        <w:rPr>
          <w:rFonts w:hint="eastAsia" w:ascii="Times New Roman" w:hAnsi="Times New Roman" w:eastAsia="仿宋_GB2312" w:cs="仿宋_GB2312"/>
          <w:color w:val="auto"/>
          <w:sz w:val="28"/>
          <w:szCs w:val="28"/>
        </w:rPr>
      </w:pPr>
      <w:r>
        <w:rPr>
          <w:rFonts w:hint="eastAsia" w:ascii="Times New Roman" w:hAnsi="Times New Roman" w:eastAsia="仿宋_GB2312" w:cs="仿宋_GB2312"/>
          <w:color w:val="auto"/>
          <w:sz w:val="28"/>
          <w:szCs w:val="28"/>
        </w:rPr>
        <w:t>系统业务运营服务周期12个月，以采购人确认的运营服务启动报审备案时间为服务起始时间。</w:t>
      </w:r>
    </w:p>
    <w:p w14:paraId="571EE395">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lang w:val="en-US" w:eastAsia="zh-CN"/>
        </w:rPr>
      </w:pPr>
      <w:r>
        <w:rPr>
          <w:rFonts w:hint="eastAsia" w:ascii="黑体" w:hAnsi="黑体" w:eastAsia="黑体" w:cs="黑体"/>
          <w:b w:val="0"/>
          <w:bCs w:val="0"/>
          <w:smallCaps w:val="0"/>
          <w:color w:val="auto"/>
          <w:sz w:val="32"/>
          <w:szCs w:val="32"/>
          <w:lang w:val="en-US" w:eastAsia="zh-CN"/>
        </w:rPr>
        <w:t>采购预算</w:t>
      </w:r>
    </w:p>
    <w:p w14:paraId="77F6A734">
      <w:pPr>
        <w:numPr>
          <w:ilvl w:val="0"/>
          <w:numId w:val="0"/>
        </w:numPr>
        <w:ind w:firstLine="420" w:firstLineChars="0"/>
        <w:rPr>
          <w:rFonts w:hint="eastAsia" w:ascii="Times New Roman" w:hAnsi="Times New Roman" w:eastAsia="仿宋_GB2312" w:cs="仿宋_GB2312"/>
          <w:color w:val="auto"/>
          <w:sz w:val="28"/>
          <w:szCs w:val="28"/>
        </w:rPr>
      </w:pPr>
      <w:r>
        <w:rPr>
          <w:rFonts w:hint="eastAsia" w:ascii="Times New Roman" w:hAnsi="Times New Roman" w:eastAsia="仿宋_GB2312" w:cs="仿宋_GB2312"/>
          <w:b w:val="0"/>
          <w:bCs w:val="0"/>
          <w:smallCaps w:val="0"/>
          <w:color w:val="auto"/>
          <w:sz w:val="28"/>
          <w:szCs w:val="28"/>
          <w:lang w:val="en-US" w:eastAsia="zh-CN"/>
        </w:rPr>
        <w:t>本项目预算不超过67.03万元。其中，软件开发服务预算为22.93万元，系统业务运营服务预算为44.1万元。</w:t>
      </w:r>
    </w:p>
    <w:p w14:paraId="3530249A">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rPr>
      </w:pPr>
      <w:r>
        <w:rPr>
          <w:rFonts w:hint="eastAsia" w:ascii="黑体" w:hAnsi="黑体" w:eastAsia="黑体" w:cs="黑体"/>
          <w:b w:val="0"/>
          <w:bCs w:val="0"/>
          <w:smallCaps w:val="0"/>
          <w:color w:val="auto"/>
          <w:sz w:val="32"/>
          <w:szCs w:val="32"/>
          <w:lang w:val="en-US" w:eastAsia="zh-CN"/>
        </w:rPr>
        <w:t>五、</w:t>
      </w:r>
      <w:r>
        <w:rPr>
          <w:rFonts w:hint="eastAsia" w:ascii="黑体" w:hAnsi="黑体" w:eastAsia="黑体" w:cs="黑体"/>
          <w:b w:val="0"/>
          <w:bCs w:val="0"/>
          <w:smallCaps w:val="0"/>
          <w:color w:val="auto"/>
          <w:sz w:val="32"/>
          <w:szCs w:val="32"/>
        </w:rPr>
        <w:t>采购项目验收要求</w:t>
      </w:r>
    </w:p>
    <w:p w14:paraId="16871B0B">
      <w:pPr>
        <w:numPr>
          <w:ilvl w:val="0"/>
          <w:numId w:val="0"/>
        </w:numPr>
        <w:ind w:firstLine="420" w:firstLineChars="0"/>
        <w:rPr>
          <w:rFonts w:hint="eastAsia" w:ascii="Times New Roman" w:hAnsi="Times New Roman" w:eastAsia="仿宋_GB2312" w:cs="仿宋_GB2312"/>
          <w:b w:val="0"/>
          <w:bCs w:val="0"/>
          <w:smallCaps w:val="0"/>
          <w:color w:val="auto"/>
          <w:sz w:val="28"/>
          <w:szCs w:val="28"/>
        </w:rPr>
      </w:pPr>
      <w:r>
        <w:rPr>
          <w:rFonts w:hint="eastAsia" w:ascii="Times New Roman" w:hAnsi="Times New Roman" w:eastAsia="仿宋_GB2312" w:cs="仿宋_GB2312"/>
          <w:b w:val="0"/>
          <w:bCs w:val="0"/>
          <w:smallCaps w:val="0"/>
          <w:color w:val="auto"/>
          <w:sz w:val="28"/>
          <w:szCs w:val="28"/>
        </w:rPr>
        <w:t>项目验收按照省政务服务和数据管理局项目验收的有关规定执行。项目验收的具体组织工作由采购人承担。</w:t>
      </w:r>
    </w:p>
    <w:p w14:paraId="6476CA64">
      <w:pPr>
        <w:numPr>
          <w:ilvl w:val="0"/>
          <w:numId w:val="0"/>
        </w:numPr>
        <w:ind w:firstLine="420" w:firstLineChars="0"/>
        <w:rPr>
          <w:rFonts w:hint="eastAsia" w:ascii="Times New Roman" w:hAnsi="Times New Roman" w:eastAsia="仿宋_GB2312" w:cs="仿宋_GB2312"/>
          <w:b w:val="0"/>
          <w:bCs w:val="0"/>
          <w:smallCaps w:val="0"/>
          <w:color w:val="auto"/>
          <w:sz w:val="28"/>
          <w:szCs w:val="28"/>
        </w:rPr>
      </w:pPr>
      <w:r>
        <w:rPr>
          <w:rFonts w:hint="eastAsia" w:ascii="Times New Roman" w:hAnsi="Times New Roman" w:eastAsia="仿宋_GB2312" w:cs="仿宋_GB2312"/>
          <w:b w:val="0"/>
          <w:bCs w:val="0"/>
          <w:smallCaps w:val="0"/>
          <w:color w:val="auto"/>
          <w:sz w:val="28"/>
          <w:szCs w:val="28"/>
        </w:rPr>
        <w:t>本项目的验收应符合广东省省级政务信息化项目相关验收管理办法的要求，同时应遵循下列标准：</w:t>
      </w:r>
    </w:p>
    <w:p w14:paraId="27086ADF">
      <w:pPr>
        <w:numPr>
          <w:ilvl w:val="0"/>
          <w:numId w:val="0"/>
        </w:numPr>
        <w:ind w:firstLine="420" w:firstLineChars="0"/>
        <w:rPr>
          <w:rFonts w:hint="eastAsia" w:ascii="Times New Roman" w:hAnsi="Times New Roman" w:eastAsia="仿宋_GB2312" w:cs="仿宋_GB2312"/>
          <w:b w:val="0"/>
          <w:bCs w:val="0"/>
          <w:smallCaps w:val="0"/>
          <w:color w:val="auto"/>
          <w:sz w:val="28"/>
          <w:szCs w:val="28"/>
        </w:rPr>
      </w:pPr>
      <w:r>
        <w:rPr>
          <w:rFonts w:hint="eastAsia" w:ascii="Times New Roman" w:hAnsi="Times New Roman" w:eastAsia="仿宋_GB2312" w:cs="仿宋_GB2312"/>
          <w:b w:val="0"/>
          <w:bCs w:val="0"/>
          <w:smallCaps w:val="0"/>
          <w:color w:val="auto"/>
          <w:sz w:val="28"/>
          <w:szCs w:val="28"/>
        </w:rPr>
        <w:t>1.实现合同、招标文件、投标文件中列举的全部服务内容。</w:t>
      </w:r>
    </w:p>
    <w:p w14:paraId="18A29634">
      <w:pPr>
        <w:numPr>
          <w:ilvl w:val="0"/>
          <w:numId w:val="0"/>
        </w:numPr>
        <w:ind w:firstLine="420" w:firstLineChars="0"/>
        <w:rPr>
          <w:rFonts w:hint="eastAsia" w:ascii="Times New Roman" w:hAnsi="Times New Roman" w:eastAsia="仿宋_GB2312" w:cs="仿宋_GB2312"/>
          <w:color w:val="auto"/>
          <w:sz w:val="28"/>
          <w:szCs w:val="28"/>
        </w:rPr>
      </w:pPr>
      <w:r>
        <w:rPr>
          <w:rFonts w:hint="eastAsia" w:ascii="Times New Roman" w:hAnsi="Times New Roman" w:eastAsia="仿宋_GB2312" w:cs="仿宋_GB2312"/>
          <w:b w:val="0"/>
          <w:bCs w:val="0"/>
          <w:smallCaps w:val="0"/>
          <w:color w:val="auto"/>
          <w:sz w:val="28"/>
          <w:szCs w:val="28"/>
        </w:rPr>
        <w:t>2.项目验收包括按照合同、招标文件、投标文件中所列举相关的技术文档、培训教材、使用说明书及广东省省级政务信息化项目相关验收管理办法所要求的全部文档</w:t>
      </w:r>
      <w:r>
        <w:rPr>
          <w:rFonts w:hint="eastAsia" w:ascii="Times New Roman" w:hAnsi="Times New Roman" w:eastAsia="仿宋_GB2312" w:cs="仿宋_GB2312"/>
          <w:color w:val="auto"/>
          <w:sz w:val="28"/>
          <w:szCs w:val="28"/>
        </w:rPr>
        <w:t>。</w:t>
      </w:r>
    </w:p>
    <w:p w14:paraId="0B408001">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rPr>
      </w:pPr>
      <w:r>
        <w:rPr>
          <w:rFonts w:hint="eastAsia" w:ascii="黑体" w:hAnsi="黑体" w:eastAsia="黑体" w:cs="黑体"/>
          <w:b w:val="0"/>
          <w:bCs w:val="0"/>
          <w:smallCaps w:val="0"/>
          <w:color w:val="auto"/>
          <w:sz w:val="32"/>
          <w:szCs w:val="32"/>
          <w:lang w:val="en-US" w:eastAsia="zh-CN"/>
        </w:rPr>
        <w:t>六</w:t>
      </w:r>
      <w:r>
        <w:rPr>
          <w:rFonts w:hint="eastAsia" w:ascii="黑体" w:hAnsi="黑体" w:eastAsia="黑体" w:cs="黑体"/>
          <w:b w:val="0"/>
          <w:bCs w:val="0"/>
          <w:smallCaps w:val="0"/>
          <w:color w:val="auto"/>
          <w:sz w:val="32"/>
          <w:szCs w:val="32"/>
        </w:rPr>
        <w:t>、供应商要求</w:t>
      </w:r>
    </w:p>
    <w:p w14:paraId="341E9D9C">
      <w:pPr>
        <w:keepNext w:val="0"/>
        <w:keepLines w:val="0"/>
        <w:pageBreakBefore w:val="0"/>
        <w:widowControl/>
        <w:numPr>
          <w:ilvl w:val="0"/>
          <w:numId w:val="0"/>
        </w:numPr>
        <w:kinsoku/>
        <w:wordWrap/>
        <w:overflowPunct/>
        <w:topLinePunct w:val="0"/>
        <w:autoSpaceDE/>
        <w:autoSpaceDN/>
        <w:bidi w:val="0"/>
        <w:adjustRightInd/>
        <w:snapToGrid/>
        <w:ind w:firstLine="420" w:firstLineChars="0"/>
        <w:textAlignment w:val="auto"/>
        <w:rPr>
          <w:rFonts w:hint="eastAsia" w:ascii="Times New Roman" w:hAnsi="Times New Roman" w:eastAsia="仿宋_GB2312" w:cs="仿宋_GB2312"/>
          <w:b w:val="0"/>
          <w:bCs w:val="0"/>
          <w:smallCaps w:val="0"/>
          <w:color w:val="auto"/>
          <w:sz w:val="28"/>
          <w:szCs w:val="28"/>
        </w:rPr>
      </w:pPr>
      <w:r>
        <w:rPr>
          <w:rFonts w:hint="eastAsia" w:ascii="Times New Roman" w:hAnsi="Times New Roman" w:eastAsia="仿宋_GB2312" w:cs="仿宋_GB2312"/>
          <w:b w:val="0"/>
          <w:bCs w:val="0"/>
          <w:smallCaps w:val="0"/>
          <w:color w:val="auto"/>
          <w:sz w:val="28"/>
          <w:szCs w:val="28"/>
        </w:rPr>
        <w:t>1.符合《中华人民共和国政府采购法》第二十二条规定的条件；</w:t>
      </w:r>
    </w:p>
    <w:p w14:paraId="15291D82">
      <w:pPr>
        <w:keepNext w:val="0"/>
        <w:keepLines w:val="0"/>
        <w:pageBreakBefore w:val="0"/>
        <w:widowControl/>
        <w:numPr>
          <w:ilvl w:val="0"/>
          <w:numId w:val="0"/>
        </w:numPr>
        <w:kinsoku/>
        <w:wordWrap/>
        <w:overflowPunct/>
        <w:topLinePunct w:val="0"/>
        <w:autoSpaceDE/>
        <w:autoSpaceDN/>
        <w:bidi w:val="0"/>
        <w:adjustRightInd/>
        <w:snapToGrid/>
        <w:ind w:firstLine="420" w:firstLineChars="0"/>
        <w:textAlignment w:val="auto"/>
        <w:rPr>
          <w:rFonts w:hint="eastAsia" w:ascii="Times New Roman" w:hAnsi="Times New Roman" w:eastAsia="仿宋_GB2312" w:cs="仿宋_GB2312"/>
          <w:b w:val="0"/>
          <w:bCs w:val="0"/>
          <w:smallCaps w:val="0"/>
          <w:color w:val="auto"/>
          <w:sz w:val="28"/>
          <w:szCs w:val="28"/>
          <w:lang w:eastAsia="zh-CN"/>
        </w:rPr>
      </w:pPr>
      <w:r>
        <w:rPr>
          <w:rFonts w:hint="eastAsia" w:ascii="Times New Roman" w:hAnsi="Times New Roman" w:eastAsia="仿宋_GB2312" w:cs="仿宋_GB2312"/>
          <w:b w:val="0"/>
          <w:bCs w:val="0"/>
          <w:smallCaps w:val="0"/>
          <w:color w:val="auto"/>
          <w:sz w:val="28"/>
          <w:szCs w:val="28"/>
        </w:rPr>
        <w:t>2.具有独立承担民事责任能力的在中华人民共和国境内注册的法人</w:t>
      </w:r>
      <w:r>
        <w:rPr>
          <w:rFonts w:hint="eastAsia" w:ascii="Times New Roman" w:hAnsi="Times New Roman" w:eastAsia="仿宋_GB2312" w:cs="仿宋_GB2312"/>
          <w:b w:val="0"/>
          <w:bCs w:val="0"/>
          <w:smallCaps w:val="0"/>
          <w:color w:val="auto"/>
          <w:sz w:val="28"/>
          <w:szCs w:val="28"/>
          <w:lang w:eastAsia="zh-CN"/>
        </w:rPr>
        <w:t>；</w:t>
      </w:r>
    </w:p>
    <w:p w14:paraId="742A4582">
      <w:pPr>
        <w:keepNext w:val="0"/>
        <w:keepLines w:val="0"/>
        <w:pageBreakBefore w:val="0"/>
        <w:widowControl/>
        <w:numPr>
          <w:ilvl w:val="0"/>
          <w:numId w:val="0"/>
        </w:numPr>
        <w:kinsoku/>
        <w:wordWrap/>
        <w:overflowPunct/>
        <w:topLinePunct w:val="0"/>
        <w:autoSpaceDE/>
        <w:autoSpaceDN/>
        <w:bidi w:val="0"/>
        <w:adjustRightInd/>
        <w:snapToGrid/>
        <w:ind w:firstLine="420" w:firstLineChars="0"/>
        <w:textAlignment w:val="auto"/>
        <w:rPr>
          <w:rFonts w:hint="eastAsia" w:ascii="Times New Roman" w:hAnsi="Times New Roman" w:eastAsia="仿宋_GB2312" w:cs="仿宋_GB2312"/>
          <w:b w:val="0"/>
          <w:bCs w:val="0"/>
          <w:smallCaps w:val="0"/>
          <w:color w:val="auto"/>
          <w:sz w:val="28"/>
          <w:szCs w:val="28"/>
          <w:lang w:eastAsia="zh-CN"/>
        </w:rPr>
      </w:pPr>
      <w:r>
        <w:rPr>
          <w:rFonts w:hint="eastAsia" w:ascii="Times New Roman" w:hAnsi="Times New Roman" w:eastAsia="仿宋_GB2312" w:cs="仿宋_GB2312"/>
          <w:b w:val="0"/>
          <w:bCs w:val="0"/>
          <w:smallCaps w:val="0"/>
          <w:color w:val="auto"/>
          <w:sz w:val="28"/>
          <w:szCs w:val="28"/>
        </w:rPr>
        <w:t>3.本项目不接受联合体投标</w:t>
      </w:r>
      <w:r>
        <w:rPr>
          <w:rFonts w:hint="eastAsia" w:ascii="Times New Roman" w:hAnsi="Times New Roman" w:eastAsia="仿宋_GB2312" w:cs="仿宋_GB2312"/>
          <w:b w:val="0"/>
          <w:bCs w:val="0"/>
          <w:smallCaps w:val="0"/>
          <w:color w:val="auto"/>
          <w:sz w:val="28"/>
          <w:szCs w:val="28"/>
          <w:lang w:eastAsia="zh-CN"/>
        </w:rPr>
        <w:t>；</w:t>
      </w:r>
    </w:p>
    <w:p w14:paraId="5433F62F">
      <w:pPr>
        <w:keepNext w:val="0"/>
        <w:keepLines w:val="0"/>
        <w:pageBreakBefore w:val="0"/>
        <w:widowControl/>
        <w:numPr>
          <w:ilvl w:val="0"/>
          <w:numId w:val="0"/>
        </w:numPr>
        <w:kinsoku/>
        <w:wordWrap/>
        <w:overflowPunct/>
        <w:topLinePunct w:val="0"/>
        <w:autoSpaceDE/>
        <w:autoSpaceDN/>
        <w:bidi w:val="0"/>
        <w:adjustRightInd/>
        <w:snapToGrid/>
        <w:ind w:firstLine="420" w:firstLineChars="0"/>
        <w:textAlignment w:val="auto"/>
        <w:rPr>
          <w:rFonts w:hint="eastAsia" w:ascii="Times New Roman" w:hAnsi="Times New Roman" w:eastAsia="仿宋_GB2312" w:cs="仿宋_GB2312"/>
          <w:b w:val="0"/>
          <w:bCs w:val="0"/>
          <w:smallCaps w:val="0"/>
          <w:color w:val="auto"/>
          <w:sz w:val="28"/>
          <w:szCs w:val="28"/>
          <w:lang w:eastAsia="zh-CN"/>
        </w:rPr>
      </w:pPr>
      <w:r>
        <w:rPr>
          <w:rFonts w:hint="eastAsia" w:ascii="Times New Roman" w:hAnsi="Times New Roman" w:eastAsia="仿宋_GB2312" w:cs="仿宋_GB2312"/>
          <w:b w:val="0"/>
          <w:bCs w:val="0"/>
          <w:smallCaps w:val="0"/>
          <w:color w:val="auto"/>
          <w:sz w:val="28"/>
          <w:szCs w:val="28"/>
          <w:lang w:val="en-US" w:eastAsia="zh-CN"/>
        </w:rPr>
        <w:t>4</w:t>
      </w:r>
      <w:r>
        <w:rPr>
          <w:rFonts w:hint="eastAsia" w:ascii="Times New Roman" w:hAnsi="Times New Roman" w:eastAsia="仿宋_GB2312" w:cs="仿宋_GB2312"/>
          <w:b w:val="0"/>
          <w:bCs w:val="0"/>
          <w:smallCaps w:val="0"/>
          <w:color w:val="auto"/>
          <w:sz w:val="28"/>
          <w:szCs w:val="28"/>
        </w:rPr>
        <w:t>.提供服务方案</w:t>
      </w:r>
      <w:r>
        <w:rPr>
          <w:rFonts w:hint="eastAsia" w:ascii="Times New Roman" w:hAnsi="Times New Roman" w:eastAsia="仿宋_GB2312" w:cs="仿宋_GB2312"/>
          <w:b w:val="0"/>
          <w:bCs w:val="0"/>
          <w:smallCaps w:val="0"/>
          <w:color w:val="auto"/>
          <w:sz w:val="28"/>
          <w:szCs w:val="28"/>
          <w:lang w:eastAsia="zh-CN"/>
        </w:rPr>
        <w:t>、</w:t>
      </w:r>
      <w:r>
        <w:rPr>
          <w:rFonts w:hint="eastAsia" w:ascii="Times New Roman" w:hAnsi="Times New Roman" w:eastAsia="仿宋_GB2312" w:cs="仿宋_GB2312"/>
          <w:b w:val="0"/>
          <w:bCs w:val="0"/>
          <w:smallCaps w:val="0"/>
          <w:color w:val="auto"/>
          <w:sz w:val="28"/>
          <w:szCs w:val="28"/>
        </w:rPr>
        <w:t>报价</w:t>
      </w:r>
      <w:r>
        <w:rPr>
          <w:rFonts w:hint="eastAsia" w:ascii="Times New Roman" w:hAnsi="Times New Roman" w:eastAsia="仿宋_GB2312" w:cs="仿宋_GB2312"/>
          <w:b w:val="0"/>
          <w:bCs w:val="0"/>
          <w:smallCaps w:val="0"/>
          <w:color w:val="auto"/>
          <w:sz w:val="28"/>
          <w:szCs w:val="28"/>
          <w:lang w:val="en-US" w:eastAsia="zh-CN"/>
        </w:rPr>
        <w:t>单等</w:t>
      </w:r>
      <w:r>
        <w:rPr>
          <w:rFonts w:hint="eastAsia" w:ascii="Times New Roman" w:hAnsi="Times New Roman" w:eastAsia="仿宋_GB2312" w:cs="仿宋_GB2312"/>
          <w:b w:val="0"/>
          <w:bCs w:val="0"/>
          <w:smallCaps w:val="0"/>
          <w:color w:val="auto"/>
          <w:sz w:val="28"/>
          <w:szCs w:val="28"/>
        </w:rPr>
        <w:t>材料</w:t>
      </w:r>
      <w:r>
        <w:rPr>
          <w:rFonts w:hint="eastAsia" w:ascii="Times New Roman" w:hAnsi="Times New Roman" w:eastAsia="仿宋_GB2312" w:cs="仿宋_GB2312"/>
          <w:b w:val="0"/>
          <w:bCs w:val="0"/>
          <w:smallCaps w:val="0"/>
          <w:color w:val="auto"/>
          <w:sz w:val="28"/>
          <w:szCs w:val="28"/>
          <w:lang w:eastAsia="zh-CN"/>
        </w:rPr>
        <w:t>。</w:t>
      </w:r>
    </w:p>
    <w:p w14:paraId="229228E4">
      <w:pPr>
        <w:keepNext w:val="0"/>
        <w:keepLines w:val="0"/>
        <w:pageBreakBefore w:val="0"/>
        <w:widowControl/>
        <w:numPr>
          <w:ilvl w:val="0"/>
          <w:numId w:val="0"/>
        </w:numPr>
        <w:kinsoku/>
        <w:wordWrap/>
        <w:overflowPunct/>
        <w:topLinePunct w:val="0"/>
        <w:autoSpaceDE/>
        <w:autoSpaceDN/>
        <w:bidi w:val="0"/>
        <w:adjustRightInd/>
        <w:snapToGrid/>
        <w:ind w:firstLine="420" w:firstLineChars="0"/>
        <w:textAlignment w:val="auto"/>
        <w:rPr>
          <w:rFonts w:hint="eastAsia" w:ascii="Times New Roman" w:hAnsi="Times New Roman" w:eastAsia="仿宋_GB2312" w:cs="仿宋_GB2312"/>
          <w:b w:val="0"/>
          <w:bCs w:val="0"/>
          <w:smallCaps w:val="0"/>
          <w:color w:val="auto"/>
          <w:sz w:val="28"/>
          <w:szCs w:val="28"/>
          <w:lang w:val="en-US" w:eastAsia="zh-CN"/>
        </w:rPr>
      </w:pPr>
      <w:r>
        <w:rPr>
          <w:rFonts w:hint="eastAsia" w:ascii="Times New Roman" w:hAnsi="Times New Roman" w:eastAsia="仿宋_GB2312" w:cs="仿宋_GB2312"/>
          <w:b w:val="0"/>
          <w:bCs w:val="0"/>
          <w:smallCaps w:val="0"/>
          <w:color w:val="auto"/>
          <w:sz w:val="28"/>
          <w:szCs w:val="28"/>
          <w:lang w:val="en-US" w:eastAsia="zh-CN"/>
        </w:rPr>
        <w:t>注：相关材料仅提交电子盖章件。</w:t>
      </w:r>
    </w:p>
    <w:p w14:paraId="289A4413">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lang w:val="en-US" w:eastAsia="zh-CN"/>
        </w:rPr>
      </w:pPr>
      <w:r>
        <w:rPr>
          <w:rFonts w:hint="eastAsia" w:ascii="黑体" w:hAnsi="黑体" w:eastAsia="黑体" w:cs="黑体"/>
          <w:b w:val="0"/>
          <w:bCs w:val="0"/>
          <w:smallCaps w:val="0"/>
          <w:color w:val="auto"/>
          <w:sz w:val="32"/>
          <w:szCs w:val="32"/>
          <w:lang w:val="en-US" w:eastAsia="zh-CN"/>
        </w:rPr>
        <w:t>七、评审方式</w:t>
      </w:r>
    </w:p>
    <w:tbl>
      <w:tblPr>
        <w:tblStyle w:val="15"/>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0"/>
        <w:gridCol w:w="2346"/>
        <w:gridCol w:w="2045"/>
        <w:gridCol w:w="2056"/>
      </w:tblGrid>
      <w:tr w14:paraId="164A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480" w:type="dxa"/>
            <w:vMerge w:val="restart"/>
            <w:noWrap w:val="0"/>
            <w:vAlign w:val="center"/>
          </w:tcPr>
          <w:p w14:paraId="4B625132">
            <w:pPr>
              <w:jc w:val="center"/>
              <w:rPr>
                <w:rFonts w:hint="eastAsia" w:ascii="Times New Roman" w:hAnsi="Times New Roman" w:eastAsia="仿宋_GB2312"/>
                <w:b/>
                <w:bCs/>
                <w:smallCaps w:val="0"/>
                <w:color w:val="auto"/>
                <w:sz w:val="32"/>
                <w:szCs w:val="32"/>
                <w:lang w:val="en-US" w:eastAsia="zh-CN"/>
              </w:rPr>
            </w:pPr>
            <w:r>
              <w:rPr>
                <w:rFonts w:hint="eastAsia" w:ascii="Times New Roman" w:hAnsi="Times New Roman" w:eastAsia="仿宋_GB2312"/>
                <w:b/>
                <w:bCs/>
                <w:smallCaps w:val="0"/>
                <w:color w:val="auto"/>
                <w:sz w:val="32"/>
                <w:szCs w:val="32"/>
                <w:lang w:val="en-US" w:eastAsia="zh-CN"/>
              </w:rPr>
              <w:t>评分办法名称</w:t>
            </w:r>
          </w:p>
        </w:tc>
        <w:tc>
          <w:tcPr>
            <w:tcW w:w="6447" w:type="dxa"/>
            <w:gridSpan w:val="3"/>
            <w:noWrap w:val="0"/>
            <w:vAlign w:val="top"/>
          </w:tcPr>
          <w:p w14:paraId="68F5CE21">
            <w:pPr>
              <w:jc w:val="center"/>
              <w:rPr>
                <w:rFonts w:hint="eastAsia" w:ascii="Times New Roman" w:hAnsi="Times New Roman" w:eastAsia="仿宋_GB2312"/>
                <w:b/>
                <w:bCs/>
                <w:smallCaps w:val="0"/>
                <w:color w:val="auto"/>
                <w:sz w:val="32"/>
                <w:szCs w:val="32"/>
                <w:lang w:val="en-US" w:eastAsia="zh-CN"/>
              </w:rPr>
            </w:pPr>
            <w:r>
              <w:rPr>
                <w:rFonts w:hint="eastAsia" w:ascii="Times New Roman" w:hAnsi="Times New Roman" w:eastAsia="仿宋_GB2312"/>
                <w:b/>
                <w:bCs/>
                <w:smallCaps w:val="0"/>
                <w:color w:val="auto"/>
                <w:sz w:val="32"/>
                <w:szCs w:val="32"/>
                <w:lang w:val="en-US" w:eastAsia="zh-CN"/>
              </w:rPr>
              <w:t>分值权重</w:t>
            </w:r>
          </w:p>
        </w:tc>
      </w:tr>
      <w:tr w14:paraId="04EF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480" w:type="dxa"/>
            <w:vMerge w:val="continue"/>
            <w:noWrap w:val="0"/>
            <w:vAlign w:val="center"/>
          </w:tcPr>
          <w:p w14:paraId="3D8533B4">
            <w:pPr>
              <w:jc w:val="center"/>
              <w:rPr>
                <w:rFonts w:hint="eastAsia" w:ascii="Times New Roman" w:hAnsi="Times New Roman" w:eastAsia="仿宋_GB2312"/>
                <w:b/>
                <w:bCs/>
                <w:smallCaps w:val="0"/>
                <w:color w:val="auto"/>
                <w:sz w:val="32"/>
                <w:szCs w:val="32"/>
                <w:lang w:val="en-US" w:eastAsia="zh-CN"/>
              </w:rPr>
            </w:pPr>
          </w:p>
        </w:tc>
        <w:tc>
          <w:tcPr>
            <w:tcW w:w="2346" w:type="dxa"/>
            <w:noWrap w:val="0"/>
            <w:vAlign w:val="center"/>
          </w:tcPr>
          <w:p w14:paraId="12A00BEB">
            <w:pPr>
              <w:jc w:val="center"/>
              <w:rPr>
                <w:rFonts w:hint="eastAsia"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cs="Arial"/>
                <w:b w:val="0"/>
                <w:bCs w:val="0"/>
                <w:color w:val="auto"/>
                <w:kern w:val="0"/>
                <w:sz w:val="32"/>
                <w:szCs w:val="32"/>
                <w:lang w:val="en-US" w:eastAsia="zh-CN" w:bidi="ar-SA"/>
              </w:rPr>
              <w:t>技术</w:t>
            </w:r>
            <w:r>
              <w:rPr>
                <w:rFonts w:hint="default" w:ascii="Times New Roman" w:hAnsi="Times New Roman" w:eastAsia="仿宋_GB2312" w:cs="Arial"/>
                <w:b w:val="0"/>
                <w:bCs w:val="0"/>
                <w:color w:val="auto"/>
                <w:kern w:val="0"/>
                <w:sz w:val="32"/>
                <w:szCs w:val="32"/>
                <w:lang w:val="en-US" w:eastAsia="zh-CN" w:bidi="ar-SA"/>
              </w:rPr>
              <w:t>评分</w:t>
            </w:r>
          </w:p>
        </w:tc>
        <w:tc>
          <w:tcPr>
            <w:tcW w:w="2045" w:type="dxa"/>
            <w:noWrap w:val="0"/>
            <w:vAlign w:val="center"/>
          </w:tcPr>
          <w:p w14:paraId="2356AFBE">
            <w:pPr>
              <w:jc w:val="center"/>
              <w:rPr>
                <w:rFonts w:hint="eastAsia"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cs="Arial"/>
                <w:b w:val="0"/>
                <w:bCs w:val="0"/>
                <w:color w:val="auto"/>
                <w:kern w:val="0"/>
                <w:sz w:val="32"/>
                <w:szCs w:val="32"/>
                <w:lang w:val="en-US" w:eastAsia="zh-CN" w:bidi="ar-SA"/>
              </w:rPr>
              <w:t>商务评分</w:t>
            </w:r>
          </w:p>
        </w:tc>
        <w:tc>
          <w:tcPr>
            <w:tcW w:w="2056" w:type="dxa"/>
            <w:noWrap w:val="0"/>
            <w:vAlign w:val="center"/>
          </w:tcPr>
          <w:p w14:paraId="69D3E146">
            <w:pPr>
              <w:jc w:val="center"/>
              <w:rPr>
                <w:rFonts w:hint="eastAsia" w:ascii="Times New Roman" w:hAnsi="Times New Roman" w:eastAsia="仿宋_GB2312"/>
                <w:b w:val="0"/>
                <w:bCs w:val="0"/>
                <w:smallCaps w:val="0"/>
                <w:color w:val="auto"/>
                <w:sz w:val="32"/>
                <w:szCs w:val="32"/>
                <w:lang w:val="en-US" w:eastAsia="zh-CN"/>
              </w:rPr>
            </w:pPr>
            <w:r>
              <w:rPr>
                <w:rFonts w:hint="default" w:ascii="Times New Roman" w:hAnsi="Times New Roman" w:eastAsia="仿宋_GB2312" w:cs="Arial"/>
                <w:b w:val="0"/>
                <w:bCs w:val="0"/>
                <w:color w:val="auto"/>
                <w:kern w:val="0"/>
                <w:sz w:val="32"/>
                <w:szCs w:val="32"/>
                <w:lang w:val="en-US" w:eastAsia="zh-CN" w:bidi="ar-SA"/>
              </w:rPr>
              <w:t>价格评分</w:t>
            </w:r>
          </w:p>
        </w:tc>
      </w:tr>
      <w:tr w14:paraId="72FC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480" w:type="dxa"/>
            <w:noWrap w:val="0"/>
            <w:vAlign w:val="center"/>
          </w:tcPr>
          <w:p w14:paraId="49775D36">
            <w:pPr>
              <w:jc w:val="center"/>
              <w:rPr>
                <w:rFonts w:hint="eastAsia"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b/>
                <w:bCs/>
                <w:smallCaps w:val="0"/>
                <w:color w:val="auto"/>
                <w:sz w:val="32"/>
                <w:szCs w:val="32"/>
                <w:lang w:val="en-US" w:eastAsia="zh-CN"/>
              </w:rPr>
              <w:t>评分占比</w:t>
            </w:r>
          </w:p>
        </w:tc>
        <w:tc>
          <w:tcPr>
            <w:tcW w:w="2346" w:type="dxa"/>
            <w:noWrap w:val="0"/>
            <w:vAlign w:val="center"/>
          </w:tcPr>
          <w:p w14:paraId="017C8CB3">
            <w:pPr>
              <w:jc w:val="center"/>
              <w:rPr>
                <w:rFonts w:hint="eastAsia"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b w:val="0"/>
                <w:bCs w:val="0"/>
                <w:smallCaps w:val="0"/>
                <w:color w:val="auto"/>
                <w:sz w:val="32"/>
                <w:szCs w:val="32"/>
                <w:lang w:val="en-US" w:eastAsia="zh-CN"/>
              </w:rPr>
              <w:t>60%</w:t>
            </w:r>
          </w:p>
        </w:tc>
        <w:tc>
          <w:tcPr>
            <w:tcW w:w="2045" w:type="dxa"/>
            <w:noWrap w:val="0"/>
            <w:vAlign w:val="center"/>
          </w:tcPr>
          <w:p w14:paraId="11416432">
            <w:pPr>
              <w:jc w:val="center"/>
              <w:rPr>
                <w:rFonts w:hint="default"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b w:val="0"/>
                <w:bCs w:val="0"/>
                <w:smallCaps w:val="0"/>
                <w:color w:val="auto"/>
                <w:sz w:val="32"/>
                <w:szCs w:val="32"/>
                <w:lang w:val="en-US" w:eastAsia="zh-CN"/>
              </w:rPr>
              <w:t>30%</w:t>
            </w:r>
          </w:p>
        </w:tc>
        <w:tc>
          <w:tcPr>
            <w:tcW w:w="2056" w:type="dxa"/>
            <w:noWrap w:val="0"/>
            <w:vAlign w:val="center"/>
          </w:tcPr>
          <w:p w14:paraId="4D5692CB">
            <w:pPr>
              <w:jc w:val="center"/>
              <w:rPr>
                <w:rFonts w:hint="eastAsia" w:ascii="Times New Roman" w:hAnsi="Times New Roman" w:eastAsia="仿宋_GB2312"/>
                <w:b w:val="0"/>
                <w:bCs w:val="0"/>
                <w:smallCaps w:val="0"/>
                <w:color w:val="auto"/>
                <w:sz w:val="32"/>
                <w:szCs w:val="32"/>
                <w:lang w:val="en-US" w:eastAsia="zh-CN"/>
              </w:rPr>
            </w:pPr>
            <w:r>
              <w:rPr>
                <w:rFonts w:hint="eastAsia" w:ascii="Times New Roman" w:hAnsi="Times New Roman" w:eastAsia="仿宋_GB2312"/>
                <w:b w:val="0"/>
                <w:bCs w:val="0"/>
                <w:smallCaps w:val="0"/>
                <w:color w:val="auto"/>
                <w:sz w:val="32"/>
                <w:szCs w:val="32"/>
                <w:lang w:val="en-US" w:eastAsia="zh-CN"/>
              </w:rPr>
              <w:t>10%</w:t>
            </w:r>
          </w:p>
        </w:tc>
      </w:tr>
    </w:tbl>
    <w:p w14:paraId="0985C415">
      <w:pPr>
        <w:numPr>
          <w:ilvl w:val="0"/>
          <w:numId w:val="0"/>
        </w:numPr>
        <w:rPr>
          <w:rFonts w:hint="eastAsia" w:ascii="Times New Roman" w:hAnsi="Times New Roman" w:eastAsia="仿宋_GB2312" w:cs="仿宋_GB2312"/>
          <w:b w:val="0"/>
          <w:bCs w:val="0"/>
          <w:smallCaps w:val="0"/>
          <w:color w:val="auto"/>
          <w:sz w:val="32"/>
          <w:szCs w:val="32"/>
          <w:lang w:val="en-US" w:eastAsia="zh-CN"/>
        </w:rPr>
      </w:pPr>
    </w:p>
    <w:p w14:paraId="39F22B48">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b w:val="0"/>
          <w:bCs w:val="0"/>
          <w:smallCaps w:val="0"/>
          <w:color w:val="auto"/>
          <w:sz w:val="32"/>
          <w:szCs w:val="32"/>
          <w:lang w:val="en-US" w:eastAsia="zh-CN"/>
        </w:rPr>
      </w:pPr>
      <w:r>
        <w:rPr>
          <w:rFonts w:hint="eastAsia" w:ascii="黑体" w:hAnsi="黑体" w:eastAsia="黑体" w:cs="黑体"/>
          <w:b w:val="0"/>
          <w:bCs w:val="0"/>
          <w:smallCaps w:val="0"/>
          <w:color w:val="auto"/>
          <w:sz w:val="32"/>
          <w:szCs w:val="32"/>
          <w:lang w:val="en-US" w:eastAsia="zh-CN"/>
        </w:rPr>
        <w:t>八、其他</w:t>
      </w:r>
    </w:p>
    <w:p w14:paraId="3EB93ED3">
      <w:pPr>
        <w:numPr>
          <w:ilvl w:val="0"/>
          <w:numId w:val="0"/>
        </w:numPr>
        <w:ind w:firstLine="420"/>
        <w:rPr>
          <w:rFonts w:hint="eastAsia" w:ascii="仿宋_GB2312" w:hAnsi="仿宋_GB2312" w:eastAsia="仿宋_GB2312" w:cs="仿宋_GB2312"/>
          <w:color w:val="auto"/>
          <w:sz w:val="28"/>
          <w:szCs w:val="28"/>
        </w:rPr>
      </w:pPr>
      <w:r>
        <w:rPr>
          <w:rFonts w:hint="eastAsia" w:ascii="Times New Roman" w:hAnsi="Times New Roman" w:eastAsia="仿宋_GB2312" w:cs="仿宋_GB2312"/>
          <w:b w:val="0"/>
          <w:bCs w:val="0"/>
          <w:smallCaps w:val="0"/>
          <w:color w:val="auto"/>
          <w:sz w:val="28"/>
          <w:szCs w:val="28"/>
          <w:lang w:val="en-US" w:eastAsia="zh-CN"/>
        </w:rPr>
        <w:t>本项目不举行集中答疑。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628BF"/>
    <w:multiLevelType w:val="multilevel"/>
    <w:tmpl w:val="0A6628BF"/>
    <w:lvl w:ilvl="0" w:tentative="0">
      <w:start w:val="1"/>
      <w:numFmt w:val="chineseCountingThousand"/>
      <w:pStyle w:val="2"/>
      <w:lvlText w:val="%1、"/>
      <w:lvlJc w:val="left"/>
      <w:pPr>
        <w:ind w:left="0" w:firstLine="0"/>
      </w:pPr>
      <w:rPr>
        <w:rFonts w:hint="eastAsia"/>
      </w:rPr>
    </w:lvl>
    <w:lvl w:ilvl="1" w:tentative="0">
      <w:start w:val="1"/>
      <w:numFmt w:val="decimal"/>
      <w:pStyle w:val="3"/>
      <w:isLgl/>
      <w:lvlText w:val="%1.%2"/>
      <w:lvlJc w:val="left"/>
      <w:pPr>
        <w:ind w:left="0" w:firstLine="0"/>
      </w:pPr>
      <w:rPr>
        <w:rFonts w:hint="eastAsia"/>
      </w:rPr>
    </w:lvl>
    <w:lvl w:ilvl="2" w:tentative="0">
      <w:start w:val="1"/>
      <w:numFmt w:val="decimal"/>
      <w:pStyle w:val="5"/>
      <w:isLgl/>
      <w:lvlText w:val="%1.%2.%3"/>
      <w:lvlJc w:val="left"/>
      <w:pPr>
        <w:ind w:left="0" w:firstLine="0"/>
      </w:pPr>
      <w:rPr>
        <w:rFonts w:hint="eastAsia"/>
      </w:rPr>
    </w:lvl>
    <w:lvl w:ilvl="3" w:tentative="0">
      <w:start w:val="1"/>
      <w:numFmt w:val="decimal"/>
      <w:pStyle w:val="6"/>
      <w:isLgl/>
      <w:lvlText w:val="%1.%2.%3.%4"/>
      <w:lvlJc w:val="left"/>
      <w:pPr>
        <w:ind w:left="0" w:firstLine="0"/>
      </w:pPr>
      <w:rPr>
        <w:rFonts w:hint="eastAsia"/>
      </w:rPr>
    </w:lvl>
    <w:lvl w:ilvl="4" w:tentative="0">
      <w:start w:val="1"/>
      <w:numFmt w:val="decimal"/>
      <w:pStyle w:val="7"/>
      <w:isLgl/>
      <w:lvlText w:val="%1.%2.%3.%4.%5"/>
      <w:lvlJc w:val="left"/>
      <w:pPr>
        <w:ind w:left="0" w:firstLine="0"/>
      </w:pPr>
      <w:rPr>
        <w:rFonts w:hint="eastAsia"/>
      </w:rPr>
    </w:lvl>
    <w:lvl w:ilvl="5" w:tentative="0">
      <w:start w:val="1"/>
      <w:numFmt w:val="decimal"/>
      <w:pStyle w:val="8"/>
      <w:isLgl/>
      <w:lvlText w:val="%1.%2.%3.%4.%5.%6"/>
      <w:lvlJc w:val="left"/>
      <w:pPr>
        <w:ind w:left="0" w:firstLine="0"/>
      </w:pPr>
      <w:rPr>
        <w:rFonts w:hint="eastAsia"/>
      </w:rPr>
    </w:lvl>
    <w:lvl w:ilvl="6" w:tentative="0">
      <w:start w:val="1"/>
      <w:numFmt w:val="decimal"/>
      <w:pStyle w:val="9"/>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79668B7B"/>
    <w:multiLevelType w:val="singleLevel"/>
    <w:tmpl w:val="79668B7B"/>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283"/>
    <w:rsid w:val="000C2B20"/>
    <w:rsid w:val="001B6129"/>
    <w:rsid w:val="001E4101"/>
    <w:rsid w:val="00335CF7"/>
    <w:rsid w:val="004F2343"/>
    <w:rsid w:val="00551283"/>
    <w:rsid w:val="00820A34"/>
    <w:rsid w:val="008D525C"/>
    <w:rsid w:val="00BA722D"/>
    <w:rsid w:val="00C42143"/>
    <w:rsid w:val="00C50F00"/>
    <w:rsid w:val="00D81B81"/>
    <w:rsid w:val="074B088B"/>
    <w:rsid w:val="085F6817"/>
    <w:rsid w:val="131066A6"/>
    <w:rsid w:val="13E67757"/>
    <w:rsid w:val="146E3D3D"/>
    <w:rsid w:val="17022A97"/>
    <w:rsid w:val="18F75EC7"/>
    <w:rsid w:val="1BBEBD22"/>
    <w:rsid w:val="1DE43D3E"/>
    <w:rsid w:val="1F3E4187"/>
    <w:rsid w:val="268E6694"/>
    <w:rsid w:val="2C9021AC"/>
    <w:rsid w:val="310050DA"/>
    <w:rsid w:val="34AC7B5B"/>
    <w:rsid w:val="3C795670"/>
    <w:rsid w:val="3FBFD09E"/>
    <w:rsid w:val="47C84799"/>
    <w:rsid w:val="49093D81"/>
    <w:rsid w:val="533519F6"/>
    <w:rsid w:val="582A4610"/>
    <w:rsid w:val="5BBDE41D"/>
    <w:rsid w:val="608A219B"/>
    <w:rsid w:val="63D16AED"/>
    <w:rsid w:val="65530662"/>
    <w:rsid w:val="6EEC25DD"/>
    <w:rsid w:val="7E6B24CE"/>
    <w:rsid w:val="7FFD2C15"/>
    <w:rsid w:val="BB7793BE"/>
    <w:rsid w:val="C9DF5096"/>
    <w:rsid w:val="EFFFFA97"/>
    <w:rsid w:val="F4FBF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50" w:beforeLines="50" w:after="50" w:afterLines="50" w:line="360" w:lineRule="exact"/>
      <w:ind w:firstLineChars="0"/>
      <w:outlineLvl w:val="0"/>
    </w:pPr>
    <w:rPr>
      <w:rFonts w:ascii="Times New Roman" w:hAnsi="Times New Roman" w:eastAsia="黑体" w:cs="Times New Roman"/>
      <w:kern w:val="44"/>
      <w:sz w:val="30"/>
    </w:rPr>
  </w:style>
  <w:style w:type="paragraph" w:styleId="3">
    <w:name w:val="heading 2"/>
    <w:basedOn w:val="2"/>
    <w:next w:val="4"/>
    <w:qFormat/>
    <w:uiPriority w:val="9"/>
    <w:pPr>
      <w:numPr>
        <w:ilvl w:val="1"/>
      </w:numPr>
      <w:tabs>
        <w:tab w:val="left" w:pos="0"/>
      </w:tabs>
      <w:outlineLvl w:val="1"/>
    </w:pPr>
    <w:rPr>
      <w:rFonts w:cs="仿宋_GB2312"/>
      <w:b/>
      <w:bCs/>
      <w:sz w:val="28"/>
      <w:szCs w:val="28"/>
    </w:rPr>
  </w:style>
  <w:style w:type="paragraph" w:styleId="5">
    <w:name w:val="heading 3"/>
    <w:basedOn w:val="3"/>
    <w:next w:val="1"/>
    <w:qFormat/>
    <w:uiPriority w:val="9"/>
    <w:pPr>
      <w:numPr>
        <w:ilvl w:val="2"/>
      </w:numPr>
      <w:outlineLvl w:val="2"/>
    </w:pPr>
  </w:style>
  <w:style w:type="paragraph" w:styleId="6">
    <w:name w:val="heading 4"/>
    <w:basedOn w:val="1"/>
    <w:next w:val="1"/>
    <w:unhideWhenUsed/>
    <w:qFormat/>
    <w:uiPriority w:val="9"/>
    <w:pPr>
      <w:keepNext/>
      <w:keepLines/>
      <w:numPr>
        <w:ilvl w:val="3"/>
        <w:numId w:val="1"/>
      </w:numPr>
      <w:spacing w:before="280" w:after="290" w:line="376" w:lineRule="auto"/>
      <w:ind w:firstLineChars="0"/>
      <w:outlineLvl w:val="3"/>
    </w:pPr>
    <w:rPr>
      <w:rFonts w:ascii="Times New Roman" w:hAnsi="Times New Roman" w:eastAsia="黑体" w:cstheme="majorBidi"/>
      <w:b/>
      <w:bCs/>
      <w:szCs w:val="28"/>
    </w:rPr>
  </w:style>
  <w:style w:type="paragraph" w:styleId="7">
    <w:name w:val="heading 5"/>
    <w:basedOn w:val="1"/>
    <w:next w:val="1"/>
    <w:unhideWhenUsed/>
    <w:qFormat/>
    <w:uiPriority w:val="9"/>
    <w:pPr>
      <w:keepNext/>
      <w:keepLines/>
      <w:numPr>
        <w:ilvl w:val="4"/>
        <w:numId w:val="1"/>
      </w:numPr>
      <w:spacing w:before="280" w:after="290" w:line="376" w:lineRule="auto"/>
      <w:ind w:firstLineChars="0"/>
      <w:outlineLvl w:val="4"/>
    </w:pPr>
    <w:rPr>
      <w:rFonts w:ascii="Times New Roman" w:hAnsi="Times New Roman" w:eastAsia="黑体"/>
      <w:b/>
      <w:bCs/>
      <w:sz w:val="24"/>
      <w:szCs w:val="28"/>
    </w:rPr>
  </w:style>
  <w:style w:type="paragraph" w:styleId="8">
    <w:name w:val="heading 6"/>
    <w:basedOn w:val="1"/>
    <w:next w:val="1"/>
    <w:unhideWhenUsed/>
    <w:qFormat/>
    <w:uiPriority w:val="9"/>
    <w:pPr>
      <w:keepNext/>
      <w:keepLines/>
      <w:numPr>
        <w:ilvl w:val="5"/>
        <w:numId w:val="1"/>
      </w:numPr>
      <w:spacing w:before="240" w:after="64" w:line="320" w:lineRule="auto"/>
      <w:ind w:firstLineChars="0"/>
      <w:outlineLvl w:val="5"/>
    </w:pPr>
    <w:rPr>
      <w:rFonts w:ascii="Times New Roman" w:hAnsi="Times New Roman" w:eastAsia="黑体" w:cstheme="majorBidi"/>
      <w:bCs/>
      <w:sz w:val="24"/>
      <w:szCs w:val="24"/>
    </w:rPr>
  </w:style>
  <w:style w:type="paragraph" w:styleId="9">
    <w:name w:val="heading 7"/>
    <w:basedOn w:val="1"/>
    <w:next w:val="1"/>
    <w:unhideWhenUsed/>
    <w:qFormat/>
    <w:uiPriority w:val="9"/>
    <w:pPr>
      <w:keepNext/>
      <w:keepLines/>
      <w:numPr>
        <w:ilvl w:val="6"/>
        <w:numId w:val="1"/>
      </w:numPr>
      <w:spacing w:before="240" w:after="64" w:line="320" w:lineRule="auto"/>
      <w:outlineLvl w:val="6"/>
    </w:pPr>
    <w:rPr>
      <w:rFonts w:ascii="Times New Roman" w:hAnsi="Times New Roman" w:eastAsia="黑体"/>
      <w:bCs/>
      <w:sz w:val="24"/>
      <w:szCs w:val="2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ind w:firstLine="723"/>
    </w:pPr>
    <w:rPr>
      <w:rFonts w:ascii="Calibri" w:hAnsi="Calibri" w:eastAsia="仿宋_GB2312" w:cs="Times New Roman"/>
    </w:rPr>
  </w:style>
  <w:style w:type="paragraph" w:styleId="10">
    <w:name w:val="annotation text"/>
    <w:basedOn w:val="1"/>
    <w:semiHidden/>
    <w:unhideWhenUsed/>
    <w:qFormat/>
    <w:uiPriority w:val="99"/>
    <w:pPr>
      <w:jc w:val="left"/>
    </w:pPr>
  </w:style>
  <w:style w:type="paragraph" w:styleId="11">
    <w:name w:val="footer"/>
    <w:basedOn w:val="1"/>
    <w:link w:val="19"/>
    <w:unhideWhenUsed/>
    <w:qFormat/>
    <w:uiPriority w:val="99"/>
    <w:pPr>
      <w:tabs>
        <w:tab w:val="center" w:pos="4153"/>
        <w:tab w:val="right" w:pos="8306"/>
      </w:tabs>
      <w:snapToGrid w:val="0"/>
      <w:jc w:val="left"/>
    </w:pPr>
    <w:rPr>
      <w:sz w:val="18"/>
      <w:szCs w:val="18"/>
    </w:rPr>
  </w:style>
  <w:style w:type="paragraph" w:styleId="12">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unhideWhenUsed/>
    <w:qFormat/>
    <w:uiPriority w:val="39"/>
    <w:pPr>
      <w:contextualSpacing/>
    </w:pPr>
    <w:rPr>
      <w:sz w:val="24"/>
    </w:rPr>
  </w:style>
  <w:style w:type="paragraph" w:styleId="1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7">
    <w:name w:val="Hyperlink"/>
    <w:basedOn w:val="16"/>
    <w:semiHidden/>
    <w:unhideWhenUsed/>
    <w:qFormat/>
    <w:uiPriority w:val="99"/>
    <w:rPr>
      <w:color w:val="0000FF"/>
      <w:u w:val="single"/>
    </w:rPr>
  </w:style>
  <w:style w:type="character" w:customStyle="1" w:styleId="18">
    <w:name w:val="页眉 Char"/>
    <w:basedOn w:val="16"/>
    <w:link w:val="12"/>
    <w:qFormat/>
    <w:uiPriority w:val="99"/>
    <w:rPr>
      <w:sz w:val="18"/>
      <w:szCs w:val="18"/>
    </w:rPr>
  </w:style>
  <w:style w:type="character" w:customStyle="1" w:styleId="19">
    <w:name w:val="页脚 Char"/>
    <w:basedOn w:val="16"/>
    <w:link w:val="11"/>
    <w:qFormat/>
    <w:uiPriority w:val="99"/>
    <w:rPr>
      <w:sz w:val="18"/>
      <w:szCs w:val="18"/>
    </w:rPr>
  </w:style>
  <w:style w:type="paragraph" w:customStyle="1" w:styleId="20">
    <w:name w:val="null3"/>
    <w:hidden/>
    <w:qFormat/>
    <w:uiPriority w:val="0"/>
    <w:rPr>
      <w:rFonts w:hint="eastAsia" w:asciiTheme="minorHAnsi" w:hAnsiTheme="minorHAnsi" w:eastAsiaTheme="minorEastAsia" w:cstheme="minorBidi"/>
      <w:lang w:val="en-US" w:eastAsia="zh-Hans"/>
    </w:rPr>
  </w:style>
  <w:style w:type="paragraph" w:styleId="21">
    <w:name w:val="List Paragraph"/>
    <w:basedOn w:val="1"/>
    <w:unhideWhenUsed/>
    <w:qFormat/>
    <w:uiPriority w:val="99"/>
    <w:pPr>
      <w:ind w:firstLine="420"/>
    </w:pPr>
  </w:style>
  <w:style w:type="paragraph" w:customStyle="1" w:styleId="22">
    <w:name w:val="_正文"/>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12982</Words>
  <Characters>13785</Characters>
  <Lines>4</Lines>
  <Paragraphs>1</Paragraphs>
  <TotalTime>24</TotalTime>
  <ScaleCrop>false</ScaleCrop>
  <LinksUpToDate>false</LinksUpToDate>
  <CharactersWithSpaces>13805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2022-01-02T07:52:00Z</dcterms:created>
  <dc:creator>王晓君</dc:creator>
  <cp:lastModifiedBy>鱼</cp:lastModifiedBy>
  <dcterms:modified xsi:type="dcterms:W3CDTF">2026-10-23T08:01:26Z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E1E129C01E4D45F28DA2A9D7BD419D3B_13</vt:lpwstr>
  </property>
  <property fmtid="{D5CDD505-2E9C-101B-9397-08002B2CF9AE}" pid="4" name="KSOTemplateDocerSaveRecord">
    <vt:lpwstr>eyJoZGlkIjoiZTIwOGE3NWE2MmU2YmE0NzIwYWFkNTliMGUxYTM2MTYiLCJ1c2VySWQiOiI2MzYwMDcyNzEifQ==</vt:lpwstr>
  </property>
</Properties>
</file>