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A0B61">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附件</w:t>
      </w:r>
    </w:p>
    <w:p w14:paraId="5A60CF98">
      <w:pPr>
        <w:spacing w:line="360" w:lineRule="auto"/>
        <w:jc w:val="center"/>
        <w:rPr>
          <w:rFonts w:ascii="黑体" w:hAnsi="黑体" w:eastAsia="黑体"/>
          <w:b/>
          <w:kern w:val="0"/>
          <w:sz w:val="44"/>
          <w:szCs w:val="44"/>
        </w:rPr>
      </w:pPr>
    </w:p>
    <w:p w14:paraId="240B7F66">
      <w:pPr>
        <w:spacing w:line="360" w:lineRule="auto"/>
        <w:jc w:val="center"/>
        <w:rPr>
          <w:rFonts w:hint="eastAsia" w:ascii="Times New Roman" w:hAnsi="Times New Roman" w:eastAsia="黑体" w:cs="Times New Roman"/>
          <w:b/>
          <w:kern w:val="0"/>
          <w:sz w:val="44"/>
          <w:szCs w:val="44"/>
          <w:lang w:val="en-US" w:eastAsia="zh-CN"/>
        </w:rPr>
      </w:pPr>
      <w:bookmarkStart w:id="0" w:name="_GoBack"/>
      <w:r>
        <w:rPr>
          <w:rFonts w:ascii="黑体" w:hAnsi="黑体" w:eastAsia="黑体"/>
          <w:b/>
          <w:kern w:val="0"/>
          <w:sz w:val="44"/>
          <w:szCs w:val="44"/>
        </w:rPr>
        <w:t>省科技监测中心</w:t>
      </w:r>
      <w:r>
        <w:rPr>
          <w:rFonts w:hint="eastAsia" w:ascii="黑体" w:hAnsi="黑体" w:eastAsia="黑体"/>
          <w:b/>
          <w:kern w:val="0"/>
          <w:sz w:val="44"/>
          <w:szCs w:val="44"/>
          <w:lang w:eastAsia="zh-CN"/>
        </w:rPr>
        <w:t>《</w:t>
      </w:r>
      <w:r>
        <w:rPr>
          <w:rFonts w:hint="default" w:ascii="Times New Roman" w:hAnsi="Times New Roman" w:eastAsia="黑体" w:cs="Times New Roman"/>
          <w:b/>
          <w:kern w:val="0"/>
          <w:sz w:val="44"/>
          <w:szCs w:val="44"/>
          <w:lang w:val="en-US" w:eastAsia="zh-CN"/>
        </w:rPr>
        <w:t>省科技业务管理阳光政务平台升级改造（2026年）项目</w:t>
      </w:r>
      <w:r>
        <w:rPr>
          <w:rFonts w:hint="eastAsia" w:ascii="黑体" w:hAnsi="黑体" w:eastAsia="黑体"/>
          <w:b/>
          <w:kern w:val="0"/>
          <w:sz w:val="44"/>
          <w:szCs w:val="44"/>
          <w:lang w:eastAsia="zh-CN"/>
        </w:rPr>
        <w:t>》</w:t>
      </w:r>
      <w:r>
        <w:rPr>
          <w:rFonts w:hint="eastAsia" w:ascii="Times New Roman" w:hAnsi="Times New Roman" w:eastAsia="黑体" w:cs="Times New Roman"/>
          <w:b/>
          <w:kern w:val="0"/>
          <w:sz w:val="44"/>
          <w:szCs w:val="44"/>
          <w:lang w:val="en-US" w:eastAsia="zh-CN"/>
        </w:rPr>
        <w:t>监理服务</w:t>
      </w:r>
    </w:p>
    <w:p w14:paraId="6C40B78A">
      <w:pPr>
        <w:spacing w:line="360" w:lineRule="auto"/>
        <w:jc w:val="center"/>
        <w:rPr>
          <w:rFonts w:ascii="黑体" w:hAnsi="黑体" w:eastAsia="黑体"/>
          <w:b/>
          <w:kern w:val="0"/>
          <w:sz w:val="44"/>
          <w:szCs w:val="44"/>
        </w:rPr>
      </w:pPr>
      <w:r>
        <w:rPr>
          <w:rFonts w:hint="eastAsia" w:ascii="黑体" w:hAnsi="黑体" w:eastAsia="黑体"/>
          <w:b/>
          <w:kern w:val="0"/>
          <w:sz w:val="44"/>
          <w:szCs w:val="44"/>
          <w:lang w:val="en-US" w:eastAsia="zh-CN"/>
        </w:rPr>
        <w:t>项目</w:t>
      </w:r>
      <w:r>
        <w:rPr>
          <w:rFonts w:hint="eastAsia" w:ascii="黑体" w:hAnsi="黑体" w:eastAsia="黑体"/>
          <w:b/>
          <w:kern w:val="0"/>
          <w:sz w:val="44"/>
          <w:szCs w:val="44"/>
        </w:rPr>
        <w:t>采购需求书</w:t>
      </w:r>
    </w:p>
    <w:bookmarkEnd w:id="0"/>
    <w:p w14:paraId="314F6A93">
      <w:pPr>
        <w:rPr>
          <w:rFonts w:hint="eastAsia" w:ascii="仿宋_GB2312" w:hAnsi="仿宋_GB2312" w:eastAsia="仿宋_GB2312" w:cs="仿宋_GB2312"/>
          <w:b/>
          <w:bCs/>
          <w:sz w:val="32"/>
          <w:szCs w:val="32"/>
        </w:rPr>
      </w:pPr>
    </w:p>
    <w:p w14:paraId="17889BFC">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一、基本情况</w:t>
      </w:r>
    </w:p>
    <w:p w14:paraId="0A06006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（一）采购项目名称</w:t>
      </w:r>
    </w:p>
    <w:p w14:paraId="0EAAEF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省科技业务管理阳光政务平台升级改造（2026年）项目监理服务</w:t>
      </w:r>
    </w:p>
    <w:p w14:paraId="5EE8C40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（二）采购项目预算</w:t>
      </w:r>
    </w:p>
    <w:p w14:paraId="0ED0E1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省科技业务管理阳光政务平台升级改造（2026年）项目监理服务的采购预算不超18.95万元。</w:t>
      </w:r>
    </w:p>
    <w:p w14:paraId="6DA6682B">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default"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（三）监理服务对象</w:t>
      </w:r>
    </w:p>
    <w:p w14:paraId="30C7C4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本项目的监理服务对象为省科技业务管理阳光政务平台升级改造（2026年）项目，投资预算545.69万元，建设内容主要包括系统业务运营服务、成品软件租赁服务和定制软件开发服务。</w:t>
      </w:r>
    </w:p>
    <w:p w14:paraId="7C3D69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完成系统业务运营服务，包括业务管理运营服务、数据处理运营服务、网络安全运营服务。其中，业务管理运营服务实现科技业务无缝迁移至新平台，保障科技业务能顺利上线运行；数据处理运营服务要求完成业务数据治理与迁移，保障科技业务数据完整、准确、可追溯，确保新旧平台能平稳过渡；网络安全运营服务通过体系化、动态化的数据安全管控，有效防范数据泄露、篡改、滥用等安全风险，支撑科技业务稳定运行与信任保障。</w:t>
      </w:r>
    </w:p>
    <w:p w14:paraId="17F881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完成成品软件租赁服务，包括科技业务智慧服务AI支撑平台、智能专家库辅助管理模型、智能评审辅助管理模型，实现对科技行业算法模型进行集约化管理，提升专家与项目的精准匹配能力，为评审工作提供智能化辅助。</w:t>
      </w:r>
    </w:p>
    <w:p w14:paraId="2B31C1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3.完成定制软件开发服务，包括智能化应用集成服务、智能专家库辅助管理应用功能开发、智能评审辅助管理应用功能开发、系统对接服务，推进智能化能力落地实施，解决数据孤岛问题。</w:t>
      </w:r>
    </w:p>
    <w:p w14:paraId="02022B2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lang w:val="en-US" w:eastAsia="zh-CN"/>
        </w:rPr>
        <w:t>二</w:t>
      </w:r>
      <w:r>
        <w:rPr>
          <w:rFonts w:hint="eastAsia" w:ascii="黑体" w:hAnsi="黑体" w:eastAsia="黑体" w:cs="黑体"/>
          <w:b w:val="0"/>
          <w:bCs w:val="0"/>
          <w:smallCaps w:val="0"/>
          <w:sz w:val="32"/>
          <w:szCs w:val="32"/>
        </w:rPr>
        <w:t>、采购项目内容</w:t>
      </w:r>
    </w:p>
    <w:p w14:paraId="6B71574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（一）服务目标</w:t>
      </w:r>
    </w:p>
    <w:p w14:paraId="480BCA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实现项目建设合同和设计书中的各项功能，符合有关项目建设招标文件中的质量标准，整体工程质量达到国家的有关法规、技术规范和标准，同时保证系统的可靠性、安全性和高性能。</w:t>
      </w:r>
    </w:p>
    <w:p w14:paraId="418DDB37">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default"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（二）服务内容</w:t>
      </w:r>
    </w:p>
    <w:p w14:paraId="78CD89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lang w:val="en-US" w:eastAsia="zh-CN"/>
        </w:rPr>
        <w:t>1.</w:t>
      </w:r>
      <w:r>
        <w:rPr>
          <w:rFonts w:hint="eastAsia" w:ascii="Times New Roman" w:hAnsi="Times New Roman" w:eastAsia="仿宋_GB2312" w:cs="仿宋_GB2312"/>
          <w:b w:val="0"/>
          <w:bCs w:val="0"/>
          <w:smallCaps w:val="0"/>
          <w:sz w:val="32"/>
          <w:szCs w:val="32"/>
        </w:rPr>
        <w:t>进度控制</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做好信息化监理的进度控制工作，应当明确信息工程项目进度控制的目标，信息工程监理进度控制的总目标就是控制信息工程项目最终投入运行的时间。另外，进度控制的目标则还取决于项目业主的委托要求。由于信息化监理合同既可能是信息工程项目实施全过程的监理，也可能是阶段性监理，还可能是某一个或几个子工程项目的监理，因此，进度控制目标还要视信息工程监理的合同来决定的。</w:t>
      </w:r>
    </w:p>
    <w:p w14:paraId="79F63D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lang w:val="en-US" w:eastAsia="zh-CN"/>
        </w:rPr>
        <w:t>2.</w:t>
      </w:r>
      <w:r>
        <w:rPr>
          <w:rFonts w:hint="eastAsia" w:ascii="Times New Roman" w:hAnsi="Times New Roman" w:eastAsia="仿宋_GB2312" w:cs="仿宋_GB2312"/>
          <w:b w:val="0"/>
          <w:bCs w:val="0"/>
          <w:smallCaps w:val="0"/>
          <w:sz w:val="32"/>
          <w:szCs w:val="32"/>
        </w:rPr>
        <w:t>质量控制</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信息化监理过程中的质量控制是指在符合有关法律、法规、规范、标准程度和满足业主对项目的明确要求的基础上，力求实现信息工程项目总目标。监理单位应为满足信息工程项目总体质量要求而开展的一系列监督管理活动应包括信息系统实施方案的评审，制定质量标准、建立质量保证机制、系统测试方案和验收标准、规范的确定等。</w:t>
      </w:r>
    </w:p>
    <w:p w14:paraId="71432E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lang w:val="en-US" w:eastAsia="zh-CN"/>
        </w:rPr>
        <w:t>3.</w:t>
      </w:r>
      <w:r>
        <w:rPr>
          <w:rFonts w:hint="eastAsia" w:ascii="Times New Roman" w:hAnsi="Times New Roman" w:eastAsia="仿宋_GB2312" w:cs="仿宋_GB2312"/>
          <w:b w:val="0"/>
          <w:bCs w:val="0"/>
          <w:smallCaps w:val="0"/>
          <w:sz w:val="32"/>
          <w:szCs w:val="32"/>
        </w:rPr>
        <w:t>安全控制和知识产权控制</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为了保证业务的安全、把风险尽可能降到最低，需要监理人员综合利用诸多学科的知识积累和最新发展成果，审核施工方提交的信息系统的信息安全解决方案，并负责监督实施。至于知识产权的控制，其主要涉及委托方、承建方以及监理方三方各自企业的商业秘密、核心技术专利、手段、资料等。例如软件的著作权、源代码所有权及使用权等均为知识产权的一种，特别是那些在采用产品化或半产品化软件平台的基础上，根据用户需求进行定制开发的项目，只有在开发合同中加以明确或约定知识产权的范围和归属，才可以有效避免日后法律纠纷的产生。另外，在信息化合同条款中要求各方签订并应遵守《信息安全保密协议》的有关约定，也是做好知识产权控制工作的有效途径。</w:t>
      </w:r>
    </w:p>
    <w:p w14:paraId="7C2A7D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4.</w:t>
      </w:r>
      <w:r>
        <w:rPr>
          <w:rFonts w:hint="eastAsia" w:ascii="Times New Roman" w:hAnsi="Times New Roman" w:eastAsia="仿宋_GB2312" w:cs="仿宋_GB2312"/>
          <w:b w:val="0"/>
          <w:bCs w:val="0"/>
          <w:smallCaps w:val="0"/>
          <w:sz w:val="32"/>
          <w:szCs w:val="32"/>
        </w:rPr>
        <w:t>投资控制</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投资控制是与质量控制、进度控制相结合的，是针对整个信息工程项目目标系统所实施的控制活动的一个组成部分，在实现投资控制的同时需要兼顾质量目标和进度目标。也就是说，投资额应在适度的范围内加以控制，当出现过度投资或投资漏项时，分析清楚原因后，应根据情况采用三方确认的原则和方式，在保证质量和进度的前提下，对投资可以进行适当调整。</w:t>
      </w:r>
    </w:p>
    <w:p w14:paraId="118EB8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lang w:val="en-US" w:eastAsia="zh-CN"/>
        </w:rPr>
        <w:t>5.</w:t>
      </w:r>
      <w:r>
        <w:rPr>
          <w:rFonts w:hint="eastAsia" w:ascii="Times New Roman" w:hAnsi="Times New Roman" w:eastAsia="仿宋_GB2312" w:cs="仿宋_GB2312"/>
          <w:b w:val="0"/>
          <w:bCs w:val="0"/>
          <w:smallCaps w:val="0"/>
          <w:sz w:val="32"/>
          <w:szCs w:val="32"/>
        </w:rPr>
        <w:t>合同管理和信息管理</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项目合同是项目建设的基本依据，也是监理工作的主要依据之一。信息化监理中合同管理的主要内容包括合同范本的选择、合同内容的审核、工程款支付的阶段划分、项目文档的按阶段提交、测试和验收的标准规范、知识产权和信息安全的有关条款等，是建设合同得到有效履行的有力保证，贯穿于监理活动的始终。</w:t>
      </w:r>
    </w:p>
    <w:p w14:paraId="202A20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信息管理同样也非常重要，从项目立项开始，无论是需求分析、设计开发，还是部署实施、运行上线，甚至一直到后期培训和维护服务等各个阶段，文档、报告、方案、变更、会议纪要、使用手册等均应妥善保管并及时收集、分类、整编，为信息化建设的竣工验收、资料存档备案打基础。</w:t>
      </w:r>
    </w:p>
    <w:p w14:paraId="52DBD3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lang w:val="en-US" w:eastAsia="zh-CN"/>
        </w:rPr>
        <w:t>6.</w:t>
      </w:r>
      <w:r>
        <w:rPr>
          <w:rFonts w:hint="eastAsia" w:ascii="Times New Roman" w:hAnsi="Times New Roman" w:eastAsia="仿宋_GB2312" w:cs="仿宋_GB2312"/>
          <w:b w:val="0"/>
          <w:bCs w:val="0"/>
          <w:smallCaps w:val="0"/>
          <w:sz w:val="32"/>
          <w:szCs w:val="32"/>
        </w:rPr>
        <w:t>工程协调</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rPr>
        <w:t>监理主要代表委托方的利益，对承建方的工程实施进行监督，怎么权衡和处理三方的利益关系是监理工作中一个需重点解决的问题，也是信息化建设的成功的前提。监理方作为协作各方的“润滑剂”，只有适时发现问题并通过监理通知、监理例会、各种现场碰头会议等手段及时协调解决，才能保证信息化建设顺利成功实施。</w:t>
      </w:r>
    </w:p>
    <w:p w14:paraId="2289C7C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default"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（三）服务管理</w:t>
      </w:r>
    </w:p>
    <w:p w14:paraId="706B38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1.服务实施阶段</w:t>
      </w:r>
    </w:p>
    <w:p w14:paraId="3E2543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（1）了解服务实施的环境条件准备情况。审核项目实施方案、计划的合法性、合理性，与设计方案的符合性。组织服务项目启动会；审批开工申请，确定开工日期，签发开工令。</w:t>
      </w:r>
    </w:p>
    <w:p w14:paraId="78F927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（2）编制监理规划和实施细则。</w:t>
      </w:r>
    </w:p>
    <w:p w14:paraId="705ABB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（3）对服务实施相关的工程材料、硬件设备、系统软件的供货数量、质量检验。对服务实施各阶段的交付物质量进行检查，协助采购人及其指定的用户部门组织召开实施成果物评审会议。</w:t>
      </w:r>
    </w:p>
    <w:p w14:paraId="3B5E17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（4）服务变更的风险评估和审核。</w:t>
      </w:r>
    </w:p>
    <w:p w14:paraId="4FAAF9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（5）监督服务实施进度计划的执行，发现实施进度偏离时，要求服务供应商调整或修改计划，采取必要措施加快采购进度，以使实际开发进度符合合同的要求。</w:t>
      </w:r>
    </w:p>
    <w:p w14:paraId="250A06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6）组织召开项目例会、专项会议，定期向采购人及其指定的用户部门汇报服务实施进展情况。组织信息系统项目质量、系统集成质量事故的原因调查、问题分析、问题评估、事故处理；监控软件开发过程质量。监督需求管理、配置管理的执行和控制情况，督促承建商整改存在的问题。对承建商提供设备性能指标及产品厂家供货证明函等进行严格审核。对承建商负责采购的设备、材料按合同规定的标准进行检验验收。</w:t>
      </w:r>
    </w:p>
    <w:p w14:paraId="23A3B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7）审查所监理的项目进度计划，并监督计划的执行。确定项目实施工作的顺序，控制项目实施的进度。发现信息系统项目未能按计划进行时，要求承建商调整或修改计划，采取必要措施加快开发进度，以使实际项目进度符合合同的要求。协助采购人管理项目合同，监督检查承建商履行合同，协助采购人检查所监理的项目实施过程出现的违约、索赔、延期、分包、纠纷调解及仲裁等问题。</w:t>
      </w:r>
    </w:p>
    <w:p w14:paraId="5534DE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8）及时向采购人提交反映所监理的项目动态信息和监理工作情况的项目文档。督促、检查承建商及时完成各阶段设计文档、代码、会议纪要、变更单、问题跟踪单等资料的整理和归档工作。审查承建商的设计文档、变更单、问题跟踪单，审查承建商与采购人之间的业务联系单、备忘录、电子邮件、传真、电话记录等，并加具意见。</w:t>
      </w:r>
    </w:p>
    <w:p w14:paraId="4CCB19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9）协助采购人划分或澄清承建商的工作范围和职责。监督承建商履行职责，协调各方的工作关系。建立畅通的沟通平台和沟通渠道，采取有效措施使项目信息在有关各方之间保持顺畅流通，积极协调项目各方之间的关系，推动项目实施过程中问题的解决。督促承建商建立完善的信息安全管理制度，数据备份制度。组织信息安全事故的调查与处理。建立监理的信息安全管理工作目标和管理流程。提高项目整体的信息安全水平。</w:t>
      </w:r>
    </w:p>
    <w:p w14:paraId="7CCF3A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10）督促检查承建商及时完成各阶段设计文档、测试记录、变更记录、问题跟踪处理记录等文件的归档工作，按归档要求进行分类整理归档，按时完成竣工资料（包括监理工作方面的归档资料）验收。确保信息系统项目中各类文件传送的规范化、制度化，监理类文书资料管理的科学化、规范化。监理方的文档管理人员，负责收集、管理监理工作各类文书资料，对监理工作文档、收发文签收登记等进行管理。</w:t>
      </w:r>
    </w:p>
    <w:p w14:paraId="33EAC4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（11）其他监理工作。</w:t>
      </w:r>
    </w:p>
    <w:p w14:paraId="3DF88B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2.服务交付阶段</w:t>
      </w:r>
    </w:p>
    <w:p w14:paraId="6F5923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（1）审查服务提供商提交的服务交付申请；</w:t>
      </w:r>
    </w:p>
    <w:p w14:paraId="5D8E24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（2）协助组织服务项目第三方测评，监督服务提供商对测评问题的整改；</w:t>
      </w:r>
    </w:p>
    <w:p w14:paraId="4B799E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（3）协助组织服务交付验收评审，出具服务交付验收报告；</w:t>
      </w:r>
    </w:p>
    <w:p w14:paraId="6E79D1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（4）督促、检查服务提供商对服务项目培训情况与成效；</w:t>
      </w:r>
    </w:p>
    <w:p w14:paraId="608D6F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（5）记录服务项目遗留问题（如存在），并跟踪解决；</w:t>
      </w:r>
    </w:p>
    <w:p w14:paraId="40A9B5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（6）参与系统功能的测试、集成、竣工验收和交接；</w:t>
      </w:r>
    </w:p>
    <w:p w14:paraId="196D88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（7）其他监理工作。</w:t>
      </w:r>
    </w:p>
    <w:p w14:paraId="4003CF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3.服务运行阶段</w:t>
      </w:r>
    </w:p>
    <w:p w14:paraId="7DA6BA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（1）审核服务提供商提交的服务项目运行总体方案；</w:t>
      </w:r>
    </w:p>
    <w:p w14:paraId="6F8707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（2）监查服务运行情况，记录相关运行数据；</w:t>
      </w:r>
    </w:p>
    <w:p w14:paraId="79E76B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（3）记录服务运行期间出现的质量问题，并责成服务提供商解决，跟踪解决情况；</w:t>
      </w:r>
    </w:p>
    <w:p w14:paraId="428A2C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（4）监督服务运行期间，服务提供商的服务质量包括故障处理、服务响应、用户评价等，出具监理评价报告；</w:t>
      </w:r>
    </w:p>
    <w:p w14:paraId="5DD36A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（5）跟踪所监理的项目在质保期内的运行状况，督促承建商做好售后服务；</w:t>
      </w:r>
    </w:p>
    <w:p w14:paraId="4ECF0C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（6）其他监理工作。</w:t>
      </w:r>
    </w:p>
    <w:p w14:paraId="332D7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4.服务验收阶段</w:t>
      </w:r>
    </w:p>
    <w:p w14:paraId="6B09B8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（1）审核服务提供商提交的服务运行总结报告，确认服务项目是否达到最终验收要求；</w:t>
      </w:r>
    </w:p>
    <w:p w14:paraId="699974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（2）协助采购人及其指定的用户部门、服务提供商筹备、审查服务项目档案；</w:t>
      </w:r>
    </w:p>
    <w:p w14:paraId="7CF890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（3）审查服务有关的设备、材料、软件、文档等移交；</w:t>
      </w:r>
    </w:p>
    <w:p w14:paraId="5A2526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（4）编制和提交服务验收监理报告，向采购人提交最终监理档案资料；</w:t>
      </w:r>
    </w:p>
    <w:p w14:paraId="771F39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（5）协助采购人及其指定的用户部门组织开展服务验收；</w:t>
      </w:r>
    </w:p>
    <w:p w14:paraId="7E7D9F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（6）签署最终服务验收报告；</w:t>
      </w:r>
    </w:p>
    <w:p w14:paraId="2036202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（7）审核服务提供商提交的服务结算文档，审查结算金额；</w:t>
      </w:r>
    </w:p>
    <w:p w14:paraId="15F539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（8）其他监理工作。</w:t>
      </w:r>
    </w:p>
    <w:p w14:paraId="5F01ACC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lang w:val="en-US" w:eastAsia="zh-CN"/>
        </w:rPr>
        <w:t>三</w:t>
      </w:r>
      <w:r>
        <w:rPr>
          <w:rFonts w:hint="eastAsia" w:ascii="黑体" w:hAnsi="黑体" w:eastAsia="黑体" w:cs="黑体"/>
          <w:b w:val="0"/>
          <w:bCs w:val="0"/>
          <w:smallCaps w:val="0"/>
          <w:sz w:val="32"/>
          <w:szCs w:val="32"/>
        </w:rPr>
        <w:t>、采购项目需求（包括种类、数量、质量）</w:t>
      </w:r>
    </w:p>
    <w:p w14:paraId="4BEC9E5A">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（一）监理机构要求</w:t>
      </w:r>
    </w:p>
    <w:p w14:paraId="298813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1.应在国家法律法规、行业标准、技术标准、合同、设计文件和各种约束性文件规定的范围内独立开展监理工作。坚持公正、公开、公平的监理原则，是独立的第三方。</w:t>
      </w:r>
    </w:p>
    <w:p w14:paraId="67EEBC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2.对国家法律、法规、行业标准、技术标准的适用性全面负责，监理应以此为依据审核系统建设质量、验收标准、实施方案等；</w:t>
      </w:r>
    </w:p>
    <w:p w14:paraId="7368A7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3.负责对建设项目进行质量、进度、成本控制，负责合同管理、信息管理，在项目各有关方之间进行协调，保持关系融洽顺畅，确保项目的质量、进度、成本符合采购人的要求；</w:t>
      </w:r>
    </w:p>
    <w:p w14:paraId="0670CE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4.制订公开、透明的监理工作流程，对各主要工作环节规定工作时限，对关键的工作设置检查点；</w:t>
      </w:r>
    </w:p>
    <w:p w14:paraId="5124F6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5.应对现场监理工程师及相关工作人员行使有效管理，对监理工作人员的工作过错、失职、渎职行为负完全责任，工程监理单位应采取有效措施确保监理工作人员能够坚持公正、公开、公平、独立的监理原则；</w:t>
      </w:r>
    </w:p>
    <w:p w14:paraId="2A9A01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6.应对项目实施活动中的各项工作任务进行计划、落实、监督与控制，以使项目能够实现或超过采购人的需求和期望。</w:t>
      </w:r>
    </w:p>
    <w:p w14:paraId="69213585">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（二）监理软件及工具要求</w:t>
      </w:r>
    </w:p>
    <w:p w14:paraId="1E8E38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在项目管理过程中，需结合项目实际配备相应的监理软件或者工具，以更好的服务项目执行。如监理合同管理系统、监理文件控制系统、监理知识库管理系统、监理业务报告自动生成系统、监理规范服务平台、信息系统工程监理管理系统等。</w:t>
      </w:r>
    </w:p>
    <w:p w14:paraId="73018E02">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default"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（三）监理服务方式</w:t>
      </w:r>
    </w:p>
    <w:p w14:paraId="29390D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1.以现场监理为主。</w:t>
      </w:r>
    </w:p>
    <w:p w14:paraId="1542D9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2.总监理工程师和监理工程师应为采购单位提供服务，且在 2 个小时内响应。</w:t>
      </w:r>
    </w:p>
    <w:p w14:paraId="606B60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3.总监负责制，负责整个工程的全部监理工作。</w:t>
      </w:r>
    </w:p>
    <w:p w14:paraId="3FD961BF">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1"/>
        <w:rPr>
          <w:rFonts w:hint="eastAsia" w:ascii="楷体_GB2312" w:hAnsi="楷体_GB2312" w:eastAsia="楷体_GB2312" w:cs="楷体_GB2312"/>
          <w:b w:val="0"/>
          <w:bCs w:val="0"/>
          <w:smallCaps w:val="0"/>
          <w:sz w:val="32"/>
          <w:szCs w:val="32"/>
          <w:lang w:val="en-US" w:eastAsia="zh-CN"/>
        </w:rPr>
      </w:pPr>
      <w:r>
        <w:rPr>
          <w:rFonts w:hint="eastAsia" w:ascii="楷体_GB2312" w:hAnsi="楷体_GB2312" w:eastAsia="楷体_GB2312" w:cs="楷体_GB2312"/>
          <w:b w:val="0"/>
          <w:bCs w:val="0"/>
          <w:smallCaps w:val="0"/>
          <w:sz w:val="32"/>
          <w:szCs w:val="32"/>
          <w:lang w:val="en-US" w:eastAsia="zh-CN"/>
        </w:rPr>
        <w:t>（四）监理人员要求</w:t>
      </w:r>
    </w:p>
    <w:p w14:paraId="2D7EE9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监理服务团队人数需不少于3人，包含总监理工程师1名、总监理工程师代表1名、监理工程师1名，派出项目现场的监理服务人需保证专人专职。</w:t>
      </w:r>
    </w:p>
    <w:p w14:paraId="059CF2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总监理工程师1名。具有本科或以上学历，具有信息系统项目管理师证书与信息系统监理师证书，且2022年以来担任过5个以上(含5个)信息化建设项目的总监理工程师(以提供的合同、该人员签字的验收报告扫描件为准)。</w:t>
      </w:r>
    </w:p>
    <w:p w14:paraId="62DD9E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2.总监理工程师代表1名。须常驻现场办公；具有本科或以上学历；具有信息系统项目管理师证书与信息系统监理师证书。</w:t>
      </w:r>
    </w:p>
    <w:p w14:paraId="1D4CC3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3.监理工程师（1名）。具有本科或以上学历，具有信息系统监理师证书。</w:t>
      </w:r>
    </w:p>
    <w:p w14:paraId="2548D5D6">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lang w:val="en-US" w:eastAsia="zh-CN"/>
        </w:rPr>
        <w:t>四</w:t>
      </w:r>
      <w:r>
        <w:rPr>
          <w:rFonts w:hint="eastAsia" w:ascii="黑体" w:hAnsi="黑体" w:eastAsia="黑体" w:cs="黑体"/>
          <w:b w:val="0"/>
          <w:bCs w:val="0"/>
          <w:smallCaps w:val="0"/>
          <w:sz w:val="32"/>
          <w:szCs w:val="32"/>
        </w:rPr>
        <w:t>、采购项目服务期限</w:t>
      </w:r>
    </w:p>
    <w:p w14:paraId="0D8B5B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本项目服务期限以合同签订之日</w:t>
      </w:r>
      <w:r>
        <w:rPr>
          <w:rFonts w:hint="eastAsia" w:ascii="Times New Roman" w:hAnsi="Times New Roman" w:eastAsia="仿宋_GB2312" w:cs="仿宋_GB2312"/>
          <w:b w:val="0"/>
          <w:bCs w:val="0"/>
          <w:smallCaps w:val="0"/>
          <w:sz w:val="32"/>
          <w:szCs w:val="32"/>
          <w:lang w:val="en-US" w:eastAsia="zh-CN"/>
        </w:rPr>
        <w:t>起至</w:t>
      </w:r>
      <w:r>
        <w:rPr>
          <w:rFonts w:hint="eastAsia" w:ascii="Times New Roman" w:hAnsi="Times New Roman" w:eastAsia="仿宋_GB2312" w:cs="仿宋_GB2312"/>
          <w:b w:val="0"/>
          <w:bCs w:val="0"/>
          <w:smallCaps w:val="0"/>
          <w:sz w:val="32"/>
          <w:szCs w:val="32"/>
        </w:rPr>
        <w:t>《省科技业务管理阳光政务平台升级改造（2026年）项目》通过终验为止。</w:t>
      </w:r>
    </w:p>
    <w:p w14:paraId="7BCB051D">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lang w:val="en-US" w:eastAsia="zh-CN"/>
        </w:rPr>
        <w:t>五</w:t>
      </w:r>
      <w:r>
        <w:rPr>
          <w:rFonts w:hint="eastAsia" w:ascii="黑体" w:hAnsi="黑体" w:eastAsia="黑体" w:cs="黑体"/>
          <w:b w:val="0"/>
          <w:bCs w:val="0"/>
          <w:smallCaps w:val="0"/>
          <w:sz w:val="32"/>
          <w:szCs w:val="32"/>
        </w:rPr>
        <w:t>、采购项目验收要求</w:t>
      </w:r>
      <w:r>
        <w:rPr>
          <w:rFonts w:hint="eastAsia" w:ascii="黑体" w:hAnsi="黑体" w:eastAsia="黑体" w:cs="黑体"/>
          <w:b w:val="0"/>
          <w:bCs w:val="0"/>
          <w:smallCaps w:val="0"/>
          <w:sz w:val="32"/>
          <w:szCs w:val="32"/>
          <w:lang w:val="en-US" w:eastAsia="zh-CN"/>
        </w:rPr>
        <w:t>及成果</w:t>
      </w:r>
    </w:p>
    <w:p w14:paraId="12C238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本项目所监理的项目为省级政务信息化项目，将按照广东省政务服务和数据管理局相关监理验收要求开展项目验收工作。</w:t>
      </w:r>
    </w:p>
    <w:p w14:paraId="00525E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1.监理管理材料。包括监理规划、监理细则、监理工作记录等；</w:t>
      </w:r>
    </w:p>
    <w:p w14:paraId="2FE711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2.监理评审材料。包括监理评审报告、监理审核意见等；</w:t>
      </w:r>
    </w:p>
    <w:p w14:paraId="350583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Times New Roman" w:hAnsi="Times New Roman" w:eastAsia="仿宋_GB2312" w:cs="仿宋_GB2312"/>
          <w:b w:val="0"/>
          <w:bCs w:val="0"/>
          <w:smallCaps w:val="0"/>
          <w:sz w:val="32"/>
          <w:szCs w:val="32"/>
          <w:lang w:val="en-US" w:eastAsia="zh-CN"/>
        </w:rPr>
        <w:t>3.监理总结材料。包括监理月报及项目结束后的监理总结报告等。</w:t>
      </w:r>
    </w:p>
    <w:p w14:paraId="25FE16A3">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rPr>
      </w:pPr>
      <w:r>
        <w:rPr>
          <w:rFonts w:hint="eastAsia" w:ascii="黑体" w:hAnsi="黑体" w:eastAsia="黑体" w:cs="黑体"/>
          <w:b w:val="0"/>
          <w:bCs w:val="0"/>
          <w:smallCaps w:val="0"/>
          <w:sz w:val="32"/>
          <w:szCs w:val="32"/>
          <w:lang w:val="en-US" w:eastAsia="zh-CN"/>
        </w:rPr>
        <w:t>六</w:t>
      </w:r>
      <w:r>
        <w:rPr>
          <w:rFonts w:hint="eastAsia" w:ascii="黑体" w:hAnsi="黑体" w:eastAsia="黑体" w:cs="黑体"/>
          <w:b w:val="0"/>
          <w:bCs w:val="0"/>
          <w:smallCaps w:val="0"/>
          <w:sz w:val="32"/>
          <w:szCs w:val="32"/>
        </w:rPr>
        <w:t>、供应商要求</w:t>
      </w:r>
    </w:p>
    <w:p w14:paraId="6C7A53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rPr>
      </w:pPr>
      <w:r>
        <w:rPr>
          <w:rFonts w:hint="eastAsia" w:ascii="Times New Roman" w:hAnsi="Times New Roman" w:eastAsia="仿宋_GB2312" w:cs="仿宋_GB2312"/>
          <w:b w:val="0"/>
          <w:bCs w:val="0"/>
          <w:smallCaps w:val="0"/>
          <w:sz w:val="32"/>
          <w:szCs w:val="32"/>
        </w:rPr>
        <w:t>1.符合《中华人民共和国政府采购法》第二十二条规定的条件；</w:t>
      </w:r>
    </w:p>
    <w:p w14:paraId="120A27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eastAsia="zh-CN"/>
        </w:rPr>
      </w:pPr>
      <w:r>
        <w:rPr>
          <w:rFonts w:hint="eastAsia" w:ascii="Times New Roman" w:hAnsi="Times New Roman" w:eastAsia="仿宋_GB2312" w:cs="仿宋_GB2312"/>
          <w:b w:val="0"/>
          <w:bCs w:val="0"/>
          <w:smallCaps w:val="0"/>
          <w:sz w:val="32"/>
          <w:szCs w:val="32"/>
        </w:rPr>
        <w:t>2.具有独立承担民事责任能力的在中华人民共和国境内注册的法人</w:t>
      </w:r>
      <w:r>
        <w:rPr>
          <w:rFonts w:hint="eastAsia" w:ascii="Times New Roman" w:hAnsi="Times New Roman" w:eastAsia="仿宋_GB2312" w:cs="仿宋_GB2312"/>
          <w:b w:val="0"/>
          <w:bCs w:val="0"/>
          <w:smallCaps w:val="0"/>
          <w:sz w:val="32"/>
          <w:szCs w:val="32"/>
          <w:lang w:eastAsia="zh-CN"/>
        </w:rPr>
        <w:t>；</w:t>
      </w:r>
    </w:p>
    <w:p w14:paraId="53EC40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eastAsia="zh-CN"/>
        </w:rPr>
      </w:pPr>
      <w:r>
        <w:rPr>
          <w:rFonts w:hint="eastAsia" w:ascii="Times New Roman" w:hAnsi="Times New Roman" w:eastAsia="仿宋_GB2312" w:cs="仿宋_GB2312"/>
          <w:b w:val="0"/>
          <w:bCs w:val="0"/>
          <w:smallCaps w:val="0"/>
          <w:sz w:val="32"/>
          <w:szCs w:val="32"/>
        </w:rPr>
        <w:t>3.具有信息产业部统一颁发《信息系统工程监理资质证书》</w:t>
      </w:r>
      <w:r>
        <w:rPr>
          <w:rFonts w:hint="eastAsia" w:ascii="Times New Roman" w:hAnsi="Times New Roman" w:eastAsia="仿宋_GB2312" w:cs="仿宋_GB2312"/>
          <w:b w:val="0"/>
          <w:bCs w:val="0"/>
          <w:smallCaps w:val="0"/>
          <w:sz w:val="32"/>
          <w:szCs w:val="32"/>
          <w:lang w:eastAsia="zh-CN"/>
        </w:rPr>
        <w:t>；</w:t>
      </w:r>
    </w:p>
    <w:p w14:paraId="5BF086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eastAsia="zh-CN"/>
        </w:rPr>
      </w:pPr>
      <w:r>
        <w:rPr>
          <w:rFonts w:hint="eastAsia" w:ascii="Times New Roman" w:hAnsi="Times New Roman" w:eastAsia="仿宋_GB2312" w:cs="仿宋_GB2312"/>
          <w:b w:val="0"/>
          <w:bCs w:val="0"/>
          <w:smallCaps w:val="0"/>
          <w:sz w:val="32"/>
          <w:szCs w:val="32"/>
          <w:lang w:val="en-US" w:eastAsia="zh-CN"/>
        </w:rPr>
        <w:t>4.</w:t>
      </w:r>
      <w:r>
        <w:rPr>
          <w:rFonts w:hint="eastAsia" w:ascii="Times New Roman" w:hAnsi="Times New Roman" w:eastAsia="仿宋_GB2312" w:cs="仿宋_GB2312"/>
          <w:b w:val="0"/>
          <w:bCs w:val="0"/>
          <w:smallCaps w:val="0"/>
          <w:sz w:val="32"/>
          <w:szCs w:val="32"/>
        </w:rPr>
        <w:t>本项目不接受联合体投标</w:t>
      </w:r>
      <w:r>
        <w:rPr>
          <w:rFonts w:hint="eastAsia" w:ascii="Times New Roman" w:hAnsi="Times New Roman" w:eastAsia="仿宋_GB2312" w:cs="仿宋_GB2312"/>
          <w:b w:val="0"/>
          <w:bCs w:val="0"/>
          <w:smallCaps w:val="0"/>
          <w:sz w:val="32"/>
          <w:szCs w:val="32"/>
          <w:lang w:eastAsia="zh-CN"/>
        </w:rPr>
        <w:t>；</w:t>
      </w:r>
    </w:p>
    <w:p w14:paraId="34B15A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b w:val="0"/>
          <w:bCs w:val="0"/>
          <w:smallCaps w:val="0"/>
          <w:sz w:val="32"/>
          <w:szCs w:val="32"/>
          <w:lang w:eastAsia="zh-CN"/>
        </w:rPr>
      </w:pPr>
      <w:r>
        <w:rPr>
          <w:rFonts w:hint="eastAsia" w:ascii="Times New Roman" w:hAnsi="Times New Roman" w:eastAsia="仿宋_GB2312" w:cs="仿宋_GB2312"/>
          <w:b w:val="0"/>
          <w:bCs w:val="0"/>
          <w:smallCaps w:val="0"/>
          <w:sz w:val="32"/>
          <w:szCs w:val="32"/>
          <w:lang w:val="en-US" w:eastAsia="zh-CN"/>
        </w:rPr>
        <w:t>5</w:t>
      </w:r>
      <w:r>
        <w:rPr>
          <w:rFonts w:hint="eastAsia" w:ascii="Times New Roman" w:hAnsi="Times New Roman" w:eastAsia="仿宋_GB2312" w:cs="仿宋_GB2312"/>
          <w:b w:val="0"/>
          <w:bCs w:val="0"/>
          <w:smallCaps w:val="0"/>
          <w:sz w:val="32"/>
          <w:szCs w:val="32"/>
        </w:rPr>
        <w:t>.提供服务响应材料</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lang w:val="en-US" w:eastAsia="zh-CN"/>
        </w:rPr>
        <w:t>包括但不限于资质证明（营业执照、同类业绩等）、服务方案、报价单等</w:t>
      </w:r>
      <w:r>
        <w:rPr>
          <w:rFonts w:hint="eastAsia" w:ascii="Times New Roman" w:hAnsi="Times New Roman" w:eastAsia="仿宋_GB2312" w:cs="仿宋_GB2312"/>
          <w:b w:val="0"/>
          <w:bCs w:val="0"/>
          <w:smallCaps w:val="0"/>
          <w:sz w:val="32"/>
          <w:szCs w:val="32"/>
          <w:lang w:eastAsia="zh-CN"/>
        </w:rPr>
        <w:t>。</w:t>
      </w:r>
      <w:r>
        <w:rPr>
          <w:rFonts w:hint="eastAsia" w:ascii="Times New Roman" w:hAnsi="Times New Roman" w:eastAsia="仿宋_GB2312" w:cs="仿宋_GB2312"/>
          <w:b w:val="0"/>
          <w:bCs w:val="0"/>
          <w:smallCaps w:val="0"/>
          <w:sz w:val="32"/>
          <w:szCs w:val="32"/>
          <w:lang w:val="en-US" w:eastAsia="zh-CN"/>
        </w:rPr>
        <w:t>所有材料</w:t>
      </w:r>
      <w:r>
        <w:rPr>
          <w:rFonts w:hint="eastAsia" w:ascii="Times New Roman" w:hAnsi="Times New Roman" w:eastAsia="仿宋_GB2312" w:cs="仿宋_GB2312"/>
          <w:b w:val="0"/>
          <w:bCs w:val="0"/>
          <w:smallCaps w:val="0"/>
          <w:sz w:val="32"/>
          <w:szCs w:val="32"/>
          <w:lang w:eastAsia="zh-CN"/>
        </w:rPr>
        <w:t>仅提交电子盖章件。</w:t>
      </w:r>
    </w:p>
    <w:p w14:paraId="1D2CA121">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七、评审方式</w:t>
      </w:r>
    </w:p>
    <w:tbl>
      <w:tblPr>
        <w:tblStyle w:val="13"/>
        <w:tblW w:w="8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3038"/>
        <w:gridCol w:w="3050"/>
      </w:tblGrid>
      <w:tr w14:paraId="3A7C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39" w:type="dxa"/>
            <w:vMerge w:val="restart"/>
            <w:noWrap w:val="0"/>
            <w:vAlign w:val="center"/>
          </w:tcPr>
          <w:p w14:paraId="49979CF5">
            <w:pPr>
              <w:jc w:val="center"/>
              <w:rPr>
                <w:rFonts w:hint="eastAsia" w:ascii="Times New Roman" w:hAnsi="Times New Roman" w:eastAsia="仿宋_GB2312"/>
                <w:b/>
                <w:bCs/>
                <w:smallCaps w:val="0"/>
                <w:color w:val="auto"/>
                <w:sz w:val="32"/>
                <w:szCs w:val="32"/>
                <w:lang w:val="en-US" w:eastAsia="zh-CN"/>
              </w:rPr>
            </w:pPr>
            <w:r>
              <w:rPr>
                <w:rFonts w:hint="eastAsia" w:ascii="Times New Roman" w:hAnsi="Times New Roman" w:eastAsia="仿宋_GB2312"/>
                <w:b/>
                <w:bCs/>
                <w:smallCaps w:val="0"/>
                <w:color w:val="auto"/>
                <w:sz w:val="32"/>
                <w:szCs w:val="32"/>
                <w:lang w:val="en-US" w:eastAsia="zh-CN"/>
              </w:rPr>
              <w:t>评分办法名称</w:t>
            </w:r>
          </w:p>
        </w:tc>
        <w:tc>
          <w:tcPr>
            <w:tcW w:w="6088" w:type="dxa"/>
            <w:gridSpan w:val="2"/>
            <w:noWrap w:val="0"/>
            <w:vAlign w:val="top"/>
          </w:tcPr>
          <w:p w14:paraId="1ED3F880">
            <w:pPr>
              <w:jc w:val="center"/>
              <w:rPr>
                <w:rFonts w:hint="eastAsia" w:ascii="Times New Roman" w:hAnsi="Times New Roman" w:eastAsia="仿宋_GB2312"/>
                <w:b/>
                <w:bCs/>
                <w:smallCaps w:val="0"/>
                <w:color w:val="auto"/>
                <w:sz w:val="32"/>
                <w:szCs w:val="32"/>
                <w:lang w:val="en-US" w:eastAsia="zh-CN"/>
              </w:rPr>
            </w:pPr>
            <w:r>
              <w:rPr>
                <w:rFonts w:hint="eastAsia" w:ascii="Times New Roman" w:hAnsi="Times New Roman" w:eastAsia="仿宋_GB2312"/>
                <w:b/>
                <w:bCs/>
                <w:smallCaps w:val="0"/>
                <w:color w:val="auto"/>
                <w:sz w:val="32"/>
                <w:szCs w:val="32"/>
                <w:lang w:val="en-US" w:eastAsia="zh-CN"/>
              </w:rPr>
              <w:t>分值权重</w:t>
            </w:r>
          </w:p>
        </w:tc>
      </w:tr>
      <w:tr w14:paraId="0B3A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839" w:type="dxa"/>
            <w:vMerge w:val="continue"/>
            <w:noWrap w:val="0"/>
            <w:vAlign w:val="center"/>
          </w:tcPr>
          <w:p w14:paraId="5BFF70BB">
            <w:pPr>
              <w:jc w:val="center"/>
              <w:rPr>
                <w:rFonts w:hint="eastAsia" w:ascii="Times New Roman" w:hAnsi="Times New Roman" w:eastAsia="仿宋_GB2312"/>
                <w:b/>
                <w:bCs/>
                <w:smallCaps w:val="0"/>
                <w:color w:val="auto"/>
                <w:sz w:val="32"/>
                <w:szCs w:val="32"/>
                <w:lang w:val="en-US" w:eastAsia="zh-CN"/>
              </w:rPr>
            </w:pPr>
          </w:p>
        </w:tc>
        <w:tc>
          <w:tcPr>
            <w:tcW w:w="3038" w:type="dxa"/>
            <w:noWrap w:val="0"/>
            <w:vAlign w:val="center"/>
          </w:tcPr>
          <w:p w14:paraId="08139826">
            <w:pPr>
              <w:jc w:val="center"/>
              <w:rPr>
                <w:rFonts w:hint="eastAsia"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val="0"/>
                <w:bCs w:val="0"/>
                <w:smallCaps w:val="0"/>
                <w:color w:val="auto"/>
                <w:sz w:val="32"/>
                <w:szCs w:val="32"/>
                <w:lang w:val="en-US" w:eastAsia="zh-CN"/>
              </w:rPr>
              <w:t>方案评分</w:t>
            </w:r>
          </w:p>
        </w:tc>
        <w:tc>
          <w:tcPr>
            <w:tcW w:w="3050" w:type="dxa"/>
            <w:noWrap w:val="0"/>
            <w:vAlign w:val="center"/>
          </w:tcPr>
          <w:p w14:paraId="4C2CE5A5">
            <w:pPr>
              <w:jc w:val="center"/>
              <w:rPr>
                <w:rFonts w:hint="eastAsia"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val="0"/>
                <w:bCs w:val="0"/>
                <w:smallCaps w:val="0"/>
                <w:color w:val="auto"/>
                <w:sz w:val="32"/>
                <w:szCs w:val="32"/>
                <w:lang w:val="en-US" w:eastAsia="zh-CN"/>
              </w:rPr>
              <w:t>价格评分</w:t>
            </w:r>
          </w:p>
        </w:tc>
      </w:tr>
      <w:tr w14:paraId="2A02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839" w:type="dxa"/>
            <w:noWrap w:val="0"/>
            <w:vAlign w:val="center"/>
          </w:tcPr>
          <w:p w14:paraId="51E4D5E2">
            <w:pPr>
              <w:jc w:val="center"/>
              <w:rPr>
                <w:rFonts w:hint="eastAsia"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bCs/>
                <w:smallCaps w:val="0"/>
                <w:color w:val="auto"/>
                <w:sz w:val="32"/>
                <w:szCs w:val="32"/>
                <w:lang w:val="en-US" w:eastAsia="zh-CN"/>
              </w:rPr>
              <w:t>评分占比</w:t>
            </w:r>
          </w:p>
        </w:tc>
        <w:tc>
          <w:tcPr>
            <w:tcW w:w="3038" w:type="dxa"/>
            <w:noWrap w:val="0"/>
            <w:vAlign w:val="center"/>
          </w:tcPr>
          <w:p w14:paraId="021C557D">
            <w:pPr>
              <w:jc w:val="center"/>
              <w:rPr>
                <w:rFonts w:hint="eastAsia"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val="0"/>
                <w:bCs w:val="0"/>
                <w:smallCaps w:val="0"/>
                <w:color w:val="auto"/>
                <w:sz w:val="32"/>
                <w:szCs w:val="32"/>
                <w:lang w:val="en-US" w:eastAsia="zh-CN"/>
              </w:rPr>
              <w:t>90%</w:t>
            </w:r>
          </w:p>
        </w:tc>
        <w:tc>
          <w:tcPr>
            <w:tcW w:w="3050" w:type="dxa"/>
            <w:noWrap w:val="0"/>
            <w:vAlign w:val="center"/>
          </w:tcPr>
          <w:p w14:paraId="0804E9BC">
            <w:pPr>
              <w:jc w:val="center"/>
              <w:rPr>
                <w:rFonts w:hint="eastAsia" w:ascii="Times New Roman" w:hAnsi="Times New Roman" w:eastAsia="仿宋_GB2312"/>
                <w:b w:val="0"/>
                <w:bCs w:val="0"/>
                <w:smallCaps w:val="0"/>
                <w:color w:val="auto"/>
                <w:sz w:val="32"/>
                <w:szCs w:val="32"/>
                <w:lang w:val="en-US" w:eastAsia="zh-CN"/>
              </w:rPr>
            </w:pPr>
            <w:r>
              <w:rPr>
                <w:rFonts w:hint="eastAsia" w:ascii="Times New Roman" w:hAnsi="Times New Roman" w:eastAsia="仿宋_GB2312"/>
                <w:b w:val="0"/>
                <w:bCs w:val="0"/>
                <w:smallCaps w:val="0"/>
                <w:color w:val="auto"/>
                <w:sz w:val="32"/>
                <w:szCs w:val="32"/>
                <w:lang w:val="en-US" w:eastAsia="zh-CN"/>
              </w:rPr>
              <w:t>10%</w:t>
            </w:r>
          </w:p>
        </w:tc>
      </w:tr>
    </w:tbl>
    <w:p w14:paraId="0D37EA27">
      <w:pPr>
        <w:numPr>
          <w:ilvl w:val="0"/>
          <w:numId w:val="0"/>
        </w:numPr>
        <w:rPr>
          <w:rFonts w:hint="eastAsia" w:ascii="Times New Roman" w:hAnsi="Times New Roman" w:eastAsia="仿宋_GB2312" w:cs="仿宋_GB2312"/>
          <w:b w:val="0"/>
          <w:bCs w:val="0"/>
          <w:smallCaps w:val="0"/>
          <w:sz w:val="32"/>
          <w:szCs w:val="32"/>
          <w:lang w:val="en-US" w:eastAsia="zh-CN"/>
        </w:rPr>
      </w:pPr>
    </w:p>
    <w:p w14:paraId="7BE85C38">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val="0"/>
          <w:smallCaps w:val="0"/>
          <w:sz w:val="32"/>
          <w:szCs w:val="32"/>
          <w:lang w:val="en-US" w:eastAsia="zh-CN"/>
        </w:rPr>
      </w:pPr>
      <w:r>
        <w:rPr>
          <w:rFonts w:hint="eastAsia" w:ascii="黑体" w:hAnsi="黑体" w:eastAsia="黑体" w:cs="黑体"/>
          <w:b w:val="0"/>
          <w:bCs w:val="0"/>
          <w:smallCaps w:val="0"/>
          <w:sz w:val="32"/>
          <w:szCs w:val="32"/>
          <w:lang w:val="en-US" w:eastAsia="zh-CN"/>
        </w:rPr>
        <w:t>八、其他</w:t>
      </w:r>
    </w:p>
    <w:p w14:paraId="194B0C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仿宋_GB2312"/>
          <w:b w:val="0"/>
          <w:bCs w:val="0"/>
          <w:smallCaps w:val="0"/>
          <w:sz w:val="32"/>
          <w:szCs w:val="32"/>
          <w:lang w:val="en-US" w:eastAsia="zh-CN"/>
        </w:rPr>
      </w:pPr>
      <w:r>
        <w:rPr>
          <w:rFonts w:hint="eastAsia" w:ascii="Times New Roman" w:hAnsi="Times New Roman" w:eastAsia="仿宋_GB2312" w:cs="仿宋_GB2312"/>
          <w:b w:val="0"/>
          <w:bCs w:val="0"/>
          <w:smallCaps w:val="0"/>
          <w:sz w:val="32"/>
          <w:szCs w:val="32"/>
          <w:lang w:val="en-US" w:eastAsia="zh-CN"/>
        </w:rPr>
        <w:t>本项目不举行集中答疑。</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EDC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94FE2">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494FE2">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71FDE"/>
    <w:multiLevelType w:val="multilevel"/>
    <w:tmpl w:val="3E971FDE"/>
    <w:lvl w:ilvl="0" w:tentative="0">
      <w:start w:val="1"/>
      <w:numFmt w:val="chineseCountingThousand"/>
      <w:suff w:val="space"/>
      <w:lvlText w:val="第%1章"/>
      <w:lvlJc w:val="left"/>
      <w:pPr>
        <w:ind w:left="0" w:firstLine="0"/>
      </w:pPr>
      <w:rPr>
        <w:rFonts w:hint="eastAsia"/>
      </w:rPr>
    </w:lvl>
    <w:lvl w:ilvl="1" w:tentative="0">
      <w:start w:val="1"/>
      <w:numFmt w:val="decimal"/>
      <w:isLgl/>
      <w:suff w:val="space"/>
      <w:lvlText w:val="%1.%2"/>
      <w:lvlJc w:val="left"/>
      <w:pPr>
        <w:tabs>
          <w:tab w:val="left" w:pos="0"/>
        </w:tabs>
        <w:ind w:left="0" w:firstLine="0"/>
      </w:pPr>
      <w:rPr>
        <w:rFonts w:hint="eastAsia" w:ascii="Times New Roman" w:hAnsi="Times New Roman" w:cs="Times New Roman"/>
      </w:rPr>
    </w:lvl>
    <w:lvl w:ilvl="2" w:tentative="0">
      <w:start w:val="1"/>
      <w:numFmt w:val="decimal"/>
      <w:pStyle w:val="4"/>
      <w:isLgl/>
      <w:suff w:val="space"/>
      <w:lvlText w:val="%1.%2.%3"/>
      <w:lvlJc w:val="left"/>
      <w:pPr>
        <w:ind w:left="0" w:firstLine="0"/>
      </w:pPr>
      <w:rPr>
        <w:rFonts w:hint="eastAsia" w:ascii="Times New Roman" w:hAnsi="Times New Roman" w:cs="Times New Roman"/>
      </w:rPr>
    </w:lvl>
    <w:lvl w:ilvl="3" w:tentative="0">
      <w:start w:val="1"/>
      <w:numFmt w:val="decimal"/>
      <w:pStyle w:val="6"/>
      <w:isLgl/>
      <w:suff w:val="space"/>
      <w:lvlText w:val="%1.%2.%3.%4"/>
      <w:lvlJc w:val="left"/>
      <w:pPr>
        <w:ind w:left="0" w:firstLine="0"/>
      </w:pPr>
      <w:rPr>
        <w:rFonts w:hint="eastAsia"/>
      </w:rPr>
    </w:lvl>
    <w:lvl w:ilvl="4" w:tentative="0">
      <w:start w:val="1"/>
      <w:numFmt w:val="decimal"/>
      <w:pStyle w:val="7"/>
      <w:isLgl/>
      <w:suff w:val="space"/>
      <w:lvlText w:val="%1.%2.%3.%4.%5"/>
      <w:lvlJc w:val="left"/>
      <w:pPr>
        <w:ind w:left="0" w:firstLine="0"/>
      </w:pPr>
      <w:rPr>
        <w:rFonts w:hint="default" w:ascii="Times New Roman" w:hAnsi="Times New Roman" w:cs="Times New Roman"/>
        <w:color w:val="auto"/>
      </w:rPr>
    </w:lvl>
    <w:lvl w:ilvl="5" w:tentative="0">
      <w:start w:val="1"/>
      <w:numFmt w:val="decimal"/>
      <w:isLgl/>
      <w:suff w:val="space"/>
      <w:lvlText w:val="%1.%2.%3.%4.%5.%6"/>
      <w:lvlJc w:val="left"/>
      <w:pPr>
        <w:ind w:left="0" w:firstLine="0"/>
      </w:pPr>
      <w:rPr>
        <w:rFonts w:hint="eastAsia"/>
        <w:color w:val="auto"/>
      </w:rPr>
    </w:lvl>
    <w:lvl w:ilvl="6" w:tentative="0">
      <w:start w:val="1"/>
      <w:numFmt w:val="decimal"/>
      <w:isLgl/>
      <w:suff w:val="space"/>
      <w:lvlText w:val="%1.%2.%3.%4.%5.%6.%7"/>
      <w:lvlJc w:val="left"/>
      <w:pPr>
        <w:ind w:left="0" w:firstLine="0"/>
      </w:pPr>
      <w:rPr>
        <w:rFonts w:hint="default"/>
        <w:b w:val="0"/>
        <w:bCs w:val="0"/>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3"/>
    <w:rsid w:val="000C2B20"/>
    <w:rsid w:val="001B6129"/>
    <w:rsid w:val="001E4101"/>
    <w:rsid w:val="00335CF7"/>
    <w:rsid w:val="004F2343"/>
    <w:rsid w:val="00551283"/>
    <w:rsid w:val="00820A34"/>
    <w:rsid w:val="008D525C"/>
    <w:rsid w:val="00BA722D"/>
    <w:rsid w:val="00C42143"/>
    <w:rsid w:val="00C50F00"/>
    <w:rsid w:val="00D81B81"/>
    <w:rsid w:val="05643195"/>
    <w:rsid w:val="085F6817"/>
    <w:rsid w:val="131066A6"/>
    <w:rsid w:val="13E67757"/>
    <w:rsid w:val="18F75EC7"/>
    <w:rsid w:val="1DE43D3E"/>
    <w:rsid w:val="268E6694"/>
    <w:rsid w:val="310050DA"/>
    <w:rsid w:val="32F96997"/>
    <w:rsid w:val="3EC63B39"/>
    <w:rsid w:val="46A210B6"/>
    <w:rsid w:val="475C64CA"/>
    <w:rsid w:val="608A219B"/>
    <w:rsid w:val="65530662"/>
    <w:rsid w:val="69791212"/>
    <w:rsid w:val="6EEC25DD"/>
    <w:rsid w:val="711E032B"/>
    <w:rsid w:val="74A42C3A"/>
    <w:rsid w:val="7CED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unhideWhenUsed/>
    <w:qFormat/>
    <w:uiPriority w:val="9"/>
    <w:pPr>
      <w:keepNext/>
      <w:keepLines/>
      <w:numPr>
        <w:ilvl w:val="2"/>
        <w:numId w:val="1"/>
      </w:numPr>
      <w:spacing w:before="317" w:beforeLines="50" w:after="317" w:afterLines="50"/>
      <w:ind w:firstLineChars="0"/>
      <w:outlineLvl w:val="2"/>
    </w:pPr>
    <w:rPr>
      <w:rFonts w:eastAsia="黑体"/>
      <w:sz w:val="30"/>
      <w:szCs w:val="30"/>
    </w:rPr>
  </w:style>
  <w:style w:type="paragraph" w:styleId="6">
    <w:name w:val="heading 4"/>
    <w:basedOn w:val="1"/>
    <w:next w:val="5"/>
    <w:unhideWhenUsed/>
    <w:qFormat/>
    <w:uiPriority w:val="9"/>
    <w:pPr>
      <w:keepNext/>
      <w:keepLines/>
      <w:numPr>
        <w:ilvl w:val="3"/>
        <w:numId w:val="1"/>
      </w:numPr>
      <w:spacing w:before="317" w:beforeLines="50" w:after="317" w:afterLines="50"/>
      <w:ind w:firstLineChars="0"/>
      <w:outlineLvl w:val="3"/>
    </w:pPr>
    <w:rPr>
      <w:rFonts w:eastAsia="黑体" w:cstheme="majorBidi"/>
      <w:bCs/>
      <w:szCs w:val="28"/>
    </w:rPr>
  </w:style>
  <w:style w:type="paragraph" w:styleId="7">
    <w:name w:val="heading 5"/>
    <w:basedOn w:val="1"/>
    <w:next w:val="5"/>
    <w:unhideWhenUsed/>
    <w:qFormat/>
    <w:uiPriority w:val="9"/>
    <w:pPr>
      <w:keepNext/>
      <w:keepLines/>
      <w:numPr>
        <w:ilvl w:val="4"/>
        <w:numId w:val="1"/>
      </w:numPr>
      <w:spacing w:before="158" w:beforeLines="25" w:after="158" w:afterLines="25"/>
      <w:ind w:firstLineChars="0"/>
      <w:outlineLvl w:val="4"/>
    </w:pPr>
    <w:rPr>
      <w:rFonts w:ascii="黑体" w:hAnsi="黑体" w:eastAsia="黑体"/>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customStyle="1" w:styleId="5">
    <w:name w:val="正文-方案"/>
    <w:basedOn w:val="1"/>
    <w:autoRedefine/>
    <w:qFormat/>
    <w:uiPriority w:val="0"/>
    <w:pPr>
      <w:ind w:firstLine="560"/>
    </w:pPr>
    <w:rPr>
      <w:lang w:val="en-GB"/>
    </w:rPr>
  </w:style>
  <w:style w:type="paragraph" w:styleId="8">
    <w:name w:val="annotation text"/>
    <w:basedOn w:val="1"/>
    <w:semiHidden/>
    <w:unhideWhenUsed/>
    <w:uiPriority w:val="99"/>
    <w:pPr>
      <w:jc w:val="left"/>
    </w:p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ind w:left="238"/>
      <w:jc w:val="left"/>
    </w:pPr>
    <w:rPr>
      <w:rFonts w:cs="Calibri"/>
      <w:smallCaps/>
      <w:sz w:val="24"/>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semiHidden/>
    <w:unhideWhenUsed/>
    <w:qFormat/>
    <w:uiPriority w:val="99"/>
    <w:rPr>
      <w:color w:val="0000FF"/>
      <w:u w:val="single"/>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368</Words>
  <Characters>441</Characters>
  <Lines>4</Lines>
  <Paragraphs>1</Paragraphs>
  <TotalTime>8</TotalTime>
  <ScaleCrop>false</ScaleCrop>
  <LinksUpToDate>false</LinksUpToDate>
  <CharactersWithSpaces>497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2021-12-31T07:52:00Z</dcterms:created>
  <dc:creator>王晓君</dc:creator>
  <cp:lastModifiedBy>鱼</cp:lastModifiedBy>
  <dcterms:modified xsi:type="dcterms:W3CDTF">2026-06-30T08:41:18Z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AD28AD0B14D9464CA6378D7DD9B1BCC5_13</vt:lpwstr>
  </property>
  <property fmtid="{D5CDD505-2E9C-101B-9397-08002B2CF9AE}" pid="4" name="KSOTemplateDocerSaveRecord">
    <vt:lpwstr>eyJoZGlkIjoiZTIwOGE3NWE2MmU2YmE0NzIwYWFkNTliMGUxYTM2MTYiLCJ1c2VySWQiOiI2MzYwMDcyNzEifQ==</vt:lpwstr>
  </property>
</Properties>
</file>