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kern w:val="0"/>
          <w:sz w:val="32"/>
          <w:szCs w:val="32"/>
        </w:rPr>
        <w:t>省科技监测中心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202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年保洁服务项目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　采购需求书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一</w:t>
      </w:r>
      <w:r>
        <w:rPr>
          <w:rFonts w:hint="eastAsia" w:ascii="仿宋" w:hAnsi="仿宋" w:eastAsia="仿宋" w:cs="Times New Roman"/>
          <w:sz w:val="28"/>
          <w:szCs w:val="28"/>
        </w:rPr>
        <w:t>、采购</w:t>
      </w:r>
      <w:r>
        <w:rPr>
          <w:rFonts w:ascii="仿宋" w:hAnsi="仿宋" w:eastAsia="仿宋" w:cs="Times New Roman"/>
          <w:sz w:val="28"/>
          <w:szCs w:val="28"/>
        </w:rPr>
        <w:t>项目内容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1.做好3号楼五楼一整层、3号楼六楼一层、4号楼一楼本单位的多功能厅、信息大楼一楼对外窗口、信息大楼3楼原基金会的部分办公室、走廊通道及洗手间、电梯厅、走火梯等公共区域的日常保洁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2、收集生活垃圾至垃圾中转站；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二、采购项目需求（包括种类、数量、质量）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1、走道（巡回保洁）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（1）不锈钢  检查标准：无积尘、无污迹、无手印。检查方法：查看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（2）地面 ：无操作痕迹、无垃圾、无泥沙、无污渍、无积水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2、办公室内（巡回保洁）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（1）整洁、无杂物，墙面无灰尘、无蜘蛛网，地面无污迹。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（2）桌椅、沙发、柜无灰尘。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3、清理烟灰缸及纸字箩垃圾、每日更换垃圾袋。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4、每日抹净入口处招牌、沙发、茶几、饮水机、冰箱、微波炉、门。 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5、办公玻璃门、镜面无灰尘、无污迹、无手印。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6、楼内所有公用卫生间。（巡回保洁）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（1）每天 上午7点30～ 8点，11点～11点30分，下午13点30～ 14点，16点30～17点，分四次重点清理公用卫生间。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（2）打开门窗通风，用水冲洗大小便器，用夹子夹出小便器内的烟头等杂物。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（3）清扫地面垃圾，清倒垃圾篓，换新垃圾袋后放回原位。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（4）将洁厕水倒入水勺内，用厕刷沾洁厕水刷洗大、小便器，然后用清水冲净。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（5）用湿毛巾和洗洁精、去污粉等擦洗面盆，大理石台面，墙面、门窗标牌。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（6）先将玻璃组合擦镜面、窗内玻璃，随时用干毛巾擦净水迹。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（7）用湿拖把拖干净地面，然后用干拖把拖干。</w:t>
      </w:r>
    </w:p>
    <w:p>
      <w:pPr>
        <w:spacing w:line="52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（8） 每周六或周日大清洁一次。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三、采购项目服务期限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合同签订之日至202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年12月31日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四、采购项目验收要求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由我方派人按季度根据乙方工作表现和工作结果组织验收，填写验收报告，验收合格后费用按制度支付。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五、供应商要求</w:t>
      </w:r>
    </w:p>
    <w:p>
      <w:pPr>
        <w:spacing w:line="360" w:lineRule="auto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1.具有C级（广州环卫行业经营服务企业资级等级证书）；</w:t>
      </w:r>
    </w:p>
    <w:p>
      <w:pPr>
        <w:spacing w:line="360" w:lineRule="auto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2.注册地在广州，具有政府采购物业管理定点资质；</w:t>
      </w:r>
    </w:p>
    <w:p>
      <w:pPr>
        <w:spacing w:line="360" w:lineRule="auto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3.具有中小企业信用等级证；</w:t>
      </w:r>
    </w:p>
    <w:p>
      <w:pPr>
        <w:spacing w:line="360" w:lineRule="auto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4.具有ISO9001质量管理体系；</w:t>
      </w:r>
    </w:p>
    <w:p>
      <w:pPr>
        <w:spacing w:line="360" w:lineRule="auto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5.为清洁服务人员购买社保、团体意外伤害保险、雇主责任保险、高空绳架作业保险。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TEyNDBiMjgxM2NlNTQxNjhjMmJiYTYyZGIyODcifQ=="/>
  </w:docVars>
  <w:rsids>
    <w:rsidRoot w:val="00000000"/>
    <w:rsid w:val="340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2023-12-28T03:50:25Z</dcterms:created>
  <dc:creator>Administrator</dc:creator>
  <cp:lastModifiedBy>黄宝强</cp:lastModifiedBy>
  <dcterms:modified xsi:type="dcterms:W3CDTF">2023-12-28T03:50:34Z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92CAA0E724294460B1DCE60C1C823A2A_12</vt:lpwstr>
  </property>
</Properties>
</file>