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auto"/>
          <w:kern w:val="0"/>
          <w:sz w:val="44"/>
          <w:szCs w:val="44"/>
          <w:lang w:val="en-US" w:eastAsia="zh-CN"/>
        </w:rPr>
      </w:pPr>
      <w:r>
        <w:rPr>
          <w:rFonts w:hint="eastAsia" w:ascii="黑体" w:hAnsi="黑体" w:eastAsia="黑体"/>
          <w:b/>
          <w:color w:val="auto"/>
          <w:kern w:val="0"/>
          <w:sz w:val="44"/>
          <w:szCs w:val="44"/>
        </w:rPr>
        <w:t>广东省科技创新监测研究中心</w:t>
      </w:r>
      <w:r>
        <w:rPr>
          <w:rFonts w:hint="eastAsia" w:ascii="黑体" w:hAnsi="黑体" w:eastAsia="黑体"/>
          <w:b/>
          <w:color w:val="auto"/>
          <w:kern w:val="0"/>
          <w:sz w:val="44"/>
          <w:szCs w:val="44"/>
          <w:lang w:val="en-US" w:eastAsia="zh-CN"/>
        </w:rPr>
        <w:t>关于“省科技厅科技业务电子档案系统”网络安全等级保护测评、商用密码应用评估和测评服务</w:t>
      </w:r>
    </w:p>
    <w:p>
      <w:pPr>
        <w:spacing w:line="360" w:lineRule="auto"/>
        <w:jc w:val="center"/>
        <w:rPr>
          <w:rFonts w:hint="eastAsia" w:ascii="黑体" w:hAnsi="黑体" w:eastAsia="黑体"/>
          <w:b/>
          <w:color w:val="auto"/>
          <w:kern w:val="0"/>
          <w:sz w:val="44"/>
          <w:szCs w:val="44"/>
          <w:lang w:val="en-US" w:eastAsia="zh-CN"/>
        </w:rPr>
      </w:pPr>
      <w:r>
        <w:rPr>
          <w:rFonts w:hint="eastAsia" w:ascii="黑体" w:hAnsi="黑体" w:eastAsia="黑体"/>
          <w:b/>
          <w:color w:val="auto"/>
          <w:kern w:val="0"/>
          <w:sz w:val="44"/>
          <w:szCs w:val="44"/>
          <w:lang w:val="en-US" w:eastAsia="zh-CN"/>
        </w:rPr>
        <w:t>采购需求书</w:t>
      </w:r>
    </w:p>
    <w:p>
      <w:pPr>
        <w:ind w:firstLine="560" w:firstLineChars="200"/>
        <w:rPr>
          <w:rFonts w:hint="eastAsia" w:ascii="黑体" w:hAnsi="黑体" w:eastAsia="黑体" w:cs="黑体"/>
          <w:color w:val="auto"/>
          <w:sz w:val="28"/>
          <w:szCs w:val="28"/>
        </w:rPr>
      </w:pPr>
    </w:p>
    <w:p>
      <w:pPr>
        <w:ind w:firstLine="560" w:firstLineChars="200"/>
        <w:rPr>
          <w:rFonts w:hint="eastAsia" w:ascii="仿宋" w:hAnsi="仿宋" w:eastAsia="仿宋"/>
          <w:color w:val="auto"/>
          <w:sz w:val="28"/>
          <w:szCs w:val="28"/>
          <w:lang w:val="en-US" w:eastAsia="zh-CN"/>
        </w:rPr>
      </w:pPr>
      <w:r>
        <w:rPr>
          <w:rFonts w:hint="eastAsia" w:ascii="黑体" w:hAnsi="黑体" w:eastAsia="黑体" w:cs="黑体"/>
          <w:color w:val="auto"/>
          <w:sz w:val="28"/>
          <w:szCs w:val="28"/>
        </w:rPr>
        <w:t>一、</w:t>
      </w:r>
      <w:r>
        <w:rPr>
          <w:rFonts w:hint="eastAsia" w:ascii="黑体" w:hAnsi="黑体" w:eastAsia="黑体" w:cs="黑体"/>
          <w:color w:val="auto"/>
          <w:sz w:val="28"/>
          <w:szCs w:val="28"/>
          <w:lang w:val="en-US" w:eastAsia="zh-CN"/>
        </w:rPr>
        <w:t>采购项目内容</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1.对省科技厅科技业务电子档案系统开展网络安全等级保护测评服务；</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2.基于省科技厅科技业务电子档案系统开发，开展省科技厅科技业务电子档案系统商用密码应用评估和测评服务。</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二、采购项目需求（包括种类、数量、质量）</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color w:val="auto"/>
          <w:sz w:val="28"/>
          <w:szCs w:val="28"/>
          <w:lang w:val="en-US" w:eastAsia="zh-CN"/>
        </w:rPr>
        <w:t>（一）根据</w:t>
      </w:r>
      <w:r>
        <w:rPr>
          <w:rFonts w:hint="eastAsia" w:ascii="楷体_GB2312" w:hAnsi="楷体_GB2312" w:eastAsia="楷体_GB2312" w:cs="楷体_GB2312"/>
          <w:b/>
          <w:bCs/>
          <w:sz w:val="28"/>
          <w:szCs w:val="28"/>
        </w:rPr>
        <w:t>《GB/T 22239—2019 网络安全等级保护基本要求》要求对</w:t>
      </w:r>
      <w:r>
        <w:rPr>
          <w:rFonts w:hint="eastAsia" w:ascii="楷体_GB2312" w:hAnsi="楷体_GB2312" w:eastAsia="楷体_GB2312" w:cs="楷体_GB2312"/>
          <w:b/>
          <w:bCs/>
          <w:sz w:val="28"/>
          <w:szCs w:val="28"/>
          <w:lang w:val="en-US" w:eastAsia="zh-CN"/>
        </w:rPr>
        <w:t>省科技厅科技业务电子档案系统</w:t>
      </w:r>
      <w:r>
        <w:rPr>
          <w:rFonts w:hint="eastAsia" w:ascii="楷体_GB2312" w:hAnsi="楷体_GB2312" w:eastAsia="楷体_GB2312" w:cs="楷体_GB2312"/>
          <w:b/>
          <w:bCs/>
          <w:sz w:val="28"/>
          <w:szCs w:val="28"/>
        </w:rPr>
        <w:t>进行如下等级保护测评服务：</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1.协助定级备案</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协助广东省科技创新监测研究中心准备信息系统有关建设使用、设备部署、网络拓扑、数据存储、运行维护、安全管理等方面的文档资料，按照等保工作管理规定，对系统相关文档进行整理后形成系统定级报告，并指导用户单位完成等保定级备案工作，并提交网安部门审批。</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2.协助自查</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针对广东省科技创新监测研究中心定级系统的安全物理环境、安全通信网络、安全区域边界、安全计算环境、安全管理中心5 个技术层面；安全管理制度、安全管理机构、安全管理人员、安全建设管理、安全运维管理5个管理层面进行现场测评和差距分析，记录相关的测评结果，输出现场测评记录结果。依照《等级保护现场测评记录》中所记录的针对本单位定级系统的技术和管理测评结果，结合系统整体差距评估结果，按照公安部标准测评报告模板撰 写测评记录，完成提交《系统问题清单列表》。</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3、指导整改实施</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通过协助自查服务发现相关安全问题，对等保安全问题出具详细的整改建议，在整改过程中提供专业的咨询服务。</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4、完成验收测评并出具等级保护测评报告</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在信息系统进行完成整改实施后，测评方对信息系统的安全技术和安全管理上各个层面的安全控制进行整体性验证，针对定级系统进行全面的信息安全等级保护测评。等级保护测评包括，安全技术及安全管理测评两个方面。根据现场访谈、配置核查的基础上通过安全测试工具进行安全漏洞、应用系统代码漏洞的扫描及人工核查,在现场测评的结果和本单位定级系统测评在数据汇总分析的基础上，分析系统存在的问题，给出系统等级测评结论，编制《等级保护测评报告》提交公安部门备案 ，最终协助用户完成等级保护测评备案评审工作。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楷体_GB2312" w:hAnsi="楷体_GB2312" w:eastAsia="楷体_GB2312" w:cs="楷体_GB2312"/>
          <w:color w:val="auto"/>
          <w:sz w:val="28"/>
          <w:szCs w:val="28"/>
          <w:lang w:val="en-US" w:eastAsia="zh-CN"/>
        </w:rPr>
      </w:pPr>
      <w:r>
        <w:rPr>
          <w:rFonts w:hint="eastAsia" w:ascii="楷体_GB2312" w:hAnsi="楷体_GB2312" w:eastAsia="楷体_GB2312" w:cs="楷体_GB2312"/>
          <w:b/>
          <w:bCs/>
          <w:color w:val="auto"/>
          <w:sz w:val="28"/>
          <w:szCs w:val="28"/>
          <w:lang w:val="en-US" w:eastAsia="zh-CN"/>
        </w:rPr>
        <w:t>（二）对省科技厅科技业务电子档案系统开展商用密码应用评估和测评服务，主要需求如下：</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信息系统密码应用建设方案评估。根据《商用密码应用安全性评估管理办法》（试行）要求，基于系统定级情况，审查被测系统的密码应用设计方案或系统安全设计方案中的密码应用设计部分是否涵盖了所有需采用密码保护的核心资产及敏感信息，已设计的密码保护措施是否均能达到相应等级的密码使用要求或规定。</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验收前信息系统商用密码应用安全性评估。根据《中华人民共和国网络安全法》《商用密码管理条例》《商用密码应用安全性评估管理办法（试行）》以及国家关于网络安全等级保护和重要领域密码应用的有关要求，通过对科研管理公共服务平台在商用密码技术应用、密钥管理及安全管理方面的测评，对系统商用密码应用的合规性、正确性、有效性作出判断，给出系统在总体要求、物理和环境、网络和通信、设备和计算、应用和数据、密钥管理、安全管理等方面与其相应安全等级信息系统密码应用基本要求之间的差距，并给出整改建议。项目结题验收前，对科研管理公共服务平台商用密码改造情况再次进行测评，并出具《信息系统商用密码应用安全性评估报告》。</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highlight w:val="none"/>
        </w:rPr>
        <w:t>三、</w:t>
      </w:r>
      <w:r>
        <w:rPr>
          <w:rFonts w:hint="eastAsia" w:ascii="黑体" w:hAnsi="黑体" w:eastAsia="黑体" w:cs="黑体"/>
          <w:color w:val="auto"/>
          <w:sz w:val="28"/>
          <w:szCs w:val="28"/>
        </w:rPr>
        <w:t>采购项目服务期限</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2022年12月1日至2023年11月30日</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四、</w:t>
      </w:r>
      <w:r>
        <w:rPr>
          <w:rFonts w:hint="eastAsia" w:ascii="黑体" w:hAnsi="黑体" w:eastAsia="黑体" w:cs="黑体"/>
          <w:color w:val="auto"/>
          <w:sz w:val="28"/>
          <w:szCs w:val="28"/>
        </w:rPr>
        <w:t>采购项目验收要求</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供应商</w:t>
      </w:r>
      <w:r>
        <w:rPr>
          <w:rFonts w:hint="eastAsia" w:ascii="仿宋" w:hAnsi="仿宋" w:eastAsia="仿宋"/>
          <w:color w:val="auto"/>
          <w:sz w:val="28"/>
          <w:szCs w:val="28"/>
          <w:lang w:val="en-US" w:eastAsia="zh-CN"/>
        </w:rPr>
        <w:t>按要求完成采购服务内容后，提供服务工作总结报告及相关成果材料</w:t>
      </w:r>
      <w:r>
        <w:rPr>
          <w:rFonts w:hint="eastAsia" w:ascii="仿宋" w:hAnsi="仿宋" w:eastAsia="仿宋"/>
          <w:color w:val="auto"/>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、供应商要求</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1.符合《政府采购法》第二十二条规定的条件</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2.具有独立承担民事责任能力的在中华人民共和国境内注册的法人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.本项目不接受联合体投标</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.本项目不举行集中答疑。</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DEwYmRiZTlmMDQ4NjExMTI5Yzk4MzgzNmJkNGQifQ=="/>
  </w:docVars>
  <w:rsids>
    <w:rsidRoot w:val="00000000"/>
    <w:rsid w:val="7934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widowControl/>
      <w:spacing w:after="50" w:afterLines="50" w:line="360" w:lineRule="auto"/>
      <w:ind w:firstLine="200" w:firstLineChars="200"/>
      <w:jc w:val="left"/>
    </w:pPr>
    <w:rPr>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Ａ麻木 1nG Ｂ</cp:lastModifiedBy>
  <dcterms:modified xsi:type="dcterms:W3CDTF">2022-11-21T00:53:10Z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716D1AB90AE44FCF95DD61D21C3A9DD1</vt:lpwstr>
  </property>
</Properties>
</file>